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2"/>
        <w:gridCol w:w="14"/>
      </w:tblGrid>
      <w:tr w:rsidR="00CE5427" w:rsidRPr="00604B9F">
        <w:trPr>
          <w:gridAfter w:val="1"/>
          <w:wAfter w:w="14" w:type="dxa"/>
          <w:trHeight w:val="1674"/>
        </w:trPr>
        <w:tc>
          <w:tcPr>
            <w:tcW w:w="9228" w:type="dxa"/>
          </w:tcPr>
          <w:p w:rsidR="00786A49" w:rsidRPr="00604B9F" w:rsidRDefault="000A1A38" w:rsidP="000A1A38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04B9F">
              <w:rPr>
                <w:rFonts w:ascii="Arial Black" w:hAnsi="Arial Black"/>
                <w:b/>
                <w:sz w:val="24"/>
                <w:szCs w:val="24"/>
              </w:rPr>
              <w:t xml:space="preserve">Report of the </w:t>
            </w:r>
            <w:r w:rsidR="00390CF2"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="00872D2A">
              <w:rPr>
                <w:rFonts w:ascii="Arial Black" w:hAnsi="Arial Black"/>
                <w:b/>
                <w:sz w:val="24"/>
                <w:szCs w:val="24"/>
              </w:rPr>
              <w:t>sset</w:t>
            </w:r>
            <w:r w:rsidR="00766470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BF25F8">
              <w:rPr>
                <w:rFonts w:ascii="Arial Black" w:hAnsi="Arial Black"/>
                <w:b/>
                <w:sz w:val="24"/>
                <w:szCs w:val="24"/>
              </w:rPr>
              <w:t>Manager</w:t>
            </w:r>
          </w:p>
          <w:p w:rsidR="00786A49" w:rsidRPr="00604B9F" w:rsidRDefault="000A1A38" w:rsidP="000A1A38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04B9F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872D2A">
              <w:rPr>
                <w:rFonts w:ascii="Arial Black" w:hAnsi="Arial Black"/>
                <w:b/>
                <w:sz w:val="24"/>
                <w:szCs w:val="24"/>
              </w:rPr>
              <w:t>to</w:t>
            </w:r>
          </w:p>
          <w:p w:rsidR="000A1A38" w:rsidRPr="00604B9F" w:rsidRDefault="000A1A38" w:rsidP="000A1A38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04B9F">
              <w:rPr>
                <w:rFonts w:ascii="Arial Black" w:hAnsi="Arial Black"/>
                <w:b/>
                <w:sz w:val="24"/>
                <w:szCs w:val="24"/>
              </w:rPr>
              <w:t xml:space="preserve"> the </w:t>
            </w:r>
            <w:r w:rsidR="007130A1">
              <w:rPr>
                <w:rFonts w:ascii="Arial Black" w:hAnsi="Arial Black"/>
                <w:b/>
                <w:sz w:val="24"/>
                <w:szCs w:val="24"/>
              </w:rPr>
              <w:t>Strategic Director</w:t>
            </w:r>
          </w:p>
          <w:p w:rsidR="000A1A38" w:rsidRPr="00604B9F" w:rsidRDefault="000A1A38" w:rsidP="000A1A38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604B9F">
              <w:rPr>
                <w:rFonts w:ascii="Arial Black" w:hAnsi="Arial Black" w:cs="Arial"/>
                <w:b/>
                <w:sz w:val="24"/>
                <w:szCs w:val="24"/>
              </w:rPr>
              <w:t>on</w:t>
            </w:r>
          </w:p>
          <w:p w:rsidR="00CE5427" w:rsidRPr="00604B9F" w:rsidRDefault="007130A1" w:rsidP="0082764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22</w:t>
            </w:r>
            <w:r w:rsidR="00827643" w:rsidRPr="00BB6B29">
              <w:rPr>
                <w:rFonts w:ascii="Arial Black" w:hAnsi="Arial Black"/>
                <w:sz w:val="24"/>
                <w:szCs w:val="24"/>
              </w:rPr>
              <w:t xml:space="preserve"> Ju</w:t>
            </w:r>
            <w:r w:rsidR="00654CB4">
              <w:rPr>
                <w:rFonts w:ascii="Arial Black" w:hAnsi="Arial Black"/>
                <w:sz w:val="24"/>
                <w:szCs w:val="24"/>
              </w:rPr>
              <w:t>ly</w:t>
            </w:r>
            <w:r w:rsidR="00827643" w:rsidRPr="00BB6B29">
              <w:rPr>
                <w:rFonts w:ascii="Arial Black" w:hAnsi="Arial Black"/>
                <w:sz w:val="24"/>
                <w:szCs w:val="24"/>
              </w:rPr>
              <w:t xml:space="preserve"> 2</w:t>
            </w:r>
            <w:r w:rsidR="00916923" w:rsidRPr="00BB6B29">
              <w:rPr>
                <w:rFonts w:ascii="Arial Black" w:hAnsi="Arial Black"/>
                <w:sz w:val="24"/>
                <w:szCs w:val="24"/>
              </w:rPr>
              <w:t>02</w:t>
            </w:r>
            <w:r w:rsidR="00390CF2" w:rsidRPr="00BB6B29">
              <w:rPr>
                <w:rFonts w:ascii="Arial Black" w:hAnsi="Arial Black"/>
                <w:sz w:val="24"/>
                <w:szCs w:val="24"/>
              </w:rPr>
              <w:t>1</w:t>
            </w:r>
          </w:p>
        </w:tc>
      </w:tr>
      <w:tr w:rsidR="00CE5427" w:rsidRPr="00604B9F">
        <w:trPr>
          <w:gridAfter w:val="1"/>
          <w:wAfter w:w="14" w:type="dxa"/>
        </w:trPr>
        <w:tc>
          <w:tcPr>
            <w:tcW w:w="9228" w:type="dxa"/>
          </w:tcPr>
          <w:p w:rsidR="00CE5427" w:rsidRPr="00604B9F" w:rsidRDefault="00CE5427" w:rsidP="0012794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E5427" w:rsidRPr="00604B9F">
        <w:tc>
          <w:tcPr>
            <w:tcW w:w="924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E5427" w:rsidRPr="00604B9F" w:rsidRDefault="00AA7D62" w:rsidP="00AA7D62">
            <w:pPr>
              <w:spacing w:before="240" w:after="24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Award of Contract Willingham Court Sheltered Complex </w:t>
            </w:r>
            <w:r w:rsidR="00FA110F">
              <w:rPr>
                <w:rFonts w:cs="Arial"/>
                <w:b/>
                <w:sz w:val="24"/>
                <w:szCs w:val="24"/>
              </w:rPr>
              <w:t>Compliance</w:t>
            </w:r>
            <w:r>
              <w:rPr>
                <w:rFonts w:cs="Arial"/>
                <w:b/>
                <w:sz w:val="24"/>
                <w:szCs w:val="24"/>
              </w:rPr>
              <w:t xml:space="preserve"> &amp;</w:t>
            </w:r>
            <w:r w:rsidR="00FA110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90CF2">
              <w:rPr>
                <w:rFonts w:cs="Arial"/>
                <w:b/>
                <w:sz w:val="24"/>
                <w:szCs w:val="24"/>
              </w:rPr>
              <w:t xml:space="preserve">Refurbishment </w:t>
            </w:r>
            <w:r w:rsidR="008C0E5B">
              <w:rPr>
                <w:rFonts w:cs="Arial"/>
                <w:b/>
                <w:sz w:val="24"/>
                <w:szCs w:val="24"/>
              </w:rPr>
              <w:t xml:space="preserve">Programme </w:t>
            </w:r>
          </w:p>
        </w:tc>
      </w:tr>
    </w:tbl>
    <w:p w:rsidR="008518DD" w:rsidRPr="00604B9F" w:rsidRDefault="008518DD" w:rsidP="007537D0">
      <w:pPr>
        <w:rPr>
          <w:rFonts w:cs="Arial"/>
          <w:sz w:val="24"/>
          <w:szCs w:val="24"/>
        </w:rPr>
      </w:pPr>
    </w:p>
    <w:p w:rsidR="00484107" w:rsidRPr="00604B9F" w:rsidRDefault="00484107" w:rsidP="0089260C">
      <w:pPr>
        <w:rPr>
          <w:b/>
          <w:sz w:val="24"/>
          <w:szCs w:val="24"/>
        </w:rPr>
      </w:pPr>
    </w:p>
    <w:p w:rsidR="000F67FD" w:rsidRPr="00604B9F" w:rsidRDefault="008518DD" w:rsidP="00916611">
      <w:pPr>
        <w:rPr>
          <w:sz w:val="24"/>
          <w:szCs w:val="24"/>
        </w:rPr>
      </w:pPr>
      <w:r w:rsidRPr="00604B9F">
        <w:rPr>
          <w:b/>
          <w:sz w:val="24"/>
          <w:szCs w:val="24"/>
        </w:rPr>
        <w:t>1.</w:t>
      </w:r>
      <w:r w:rsidRPr="00604B9F">
        <w:rPr>
          <w:b/>
          <w:sz w:val="24"/>
          <w:szCs w:val="24"/>
        </w:rPr>
        <w:tab/>
      </w:r>
      <w:r w:rsidR="00BE210E" w:rsidRPr="00604B9F">
        <w:rPr>
          <w:b/>
          <w:sz w:val="24"/>
          <w:szCs w:val="24"/>
        </w:rPr>
        <w:t>SUMMARY</w:t>
      </w:r>
    </w:p>
    <w:p w:rsidR="000F67FD" w:rsidRPr="00604B9F" w:rsidRDefault="000F67FD" w:rsidP="00916611">
      <w:pPr>
        <w:rPr>
          <w:sz w:val="24"/>
          <w:szCs w:val="24"/>
        </w:rPr>
      </w:pPr>
    </w:p>
    <w:p w:rsidR="00CA2446" w:rsidRPr="00CA2446" w:rsidRDefault="00C27065" w:rsidP="00F6211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F62110">
        <w:rPr>
          <w:sz w:val="24"/>
          <w:szCs w:val="24"/>
        </w:rPr>
        <w:t>Th</w:t>
      </w:r>
      <w:r w:rsidR="00AA7D62">
        <w:rPr>
          <w:sz w:val="24"/>
          <w:szCs w:val="24"/>
        </w:rPr>
        <w:t xml:space="preserve">is report is for approval to enter into a contract </w:t>
      </w:r>
      <w:r w:rsidR="00AA7D62" w:rsidRPr="00CA2446">
        <w:rPr>
          <w:sz w:val="24"/>
          <w:szCs w:val="24"/>
        </w:rPr>
        <w:t xml:space="preserve">for Phase 2 of fire upgrade and refurbishment </w:t>
      </w:r>
      <w:r w:rsidR="006C7AFD">
        <w:rPr>
          <w:sz w:val="24"/>
          <w:szCs w:val="24"/>
        </w:rPr>
        <w:t xml:space="preserve">work to </w:t>
      </w:r>
      <w:r w:rsidR="00AA7D62" w:rsidRPr="00CA2446">
        <w:rPr>
          <w:sz w:val="24"/>
          <w:szCs w:val="24"/>
        </w:rPr>
        <w:t>Willingham Court</w:t>
      </w:r>
      <w:r w:rsidR="006C7AFD">
        <w:rPr>
          <w:sz w:val="24"/>
          <w:szCs w:val="24"/>
        </w:rPr>
        <w:t xml:space="preserve"> sheltered complex.</w:t>
      </w:r>
    </w:p>
    <w:p w:rsidR="006E4216" w:rsidRPr="00CA2446" w:rsidRDefault="006E4216" w:rsidP="00CA2446">
      <w:pPr>
        <w:pStyle w:val="ListParagraph"/>
        <w:rPr>
          <w:sz w:val="24"/>
          <w:szCs w:val="24"/>
        </w:rPr>
      </w:pPr>
    </w:p>
    <w:p w:rsidR="00D62788" w:rsidRPr="00604B9F" w:rsidRDefault="00D62788" w:rsidP="00C27065">
      <w:pPr>
        <w:ind w:left="720"/>
        <w:rPr>
          <w:sz w:val="24"/>
          <w:szCs w:val="24"/>
        </w:rPr>
      </w:pPr>
    </w:p>
    <w:p w:rsidR="00D62788" w:rsidRPr="00ED3F1B" w:rsidRDefault="00D62788" w:rsidP="00D62788">
      <w:pPr>
        <w:rPr>
          <w:b/>
          <w:sz w:val="24"/>
        </w:rPr>
      </w:pPr>
      <w:r w:rsidRPr="00ED3F1B">
        <w:rPr>
          <w:sz w:val="24"/>
        </w:rPr>
        <w:t>1.2</w:t>
      </w:r>
      <w:r w:rsidRPr="00ED3F1B">
        <w:rPr>
          <w:b/>
          <w:sz w:val="24"/>
        </w:rPr>
        <w:tab/>
        <w:t>Key Decision</w:t>
      </w:r>
    </w:p>
    <w:p w:rsidR="00027D34" w:rsidRPr="00FA6570" w:rsidRDefault="00027D34" w:rsidP="00D62788">
      <w:pPr>
        <w:rPr>
          <w:b/>
          <w:sz w:val="24"/>
          <w:highlight w:val="yellow"/>
        </w:rPr>
      </w:pPr>
    </w:p>
    <w:p w:rsidR="00027D34" w:rsidRDefault="00C561E0" w:rsidP="00CA2446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This is a key decision as it involves capital expenditure in excess of £250,000.  </w:t>
      </w:r>
      <w:r w:rsidR="00C95E49">
        <w:rPr>
          <w:sz w:val="24"/>
          <w:szCs w:val="24"/>
        </w:rPr>
        <w:t>This</w:t>
      </w:r>
      <w:r w:rsidR="00872D2A">
        <w:rPr>
          <w:sz w:val="24"/>
          <w:szCs w:val="24"/>
        </w:rPr>
        <w:t xml:space="preserve"> was entered on to the key decision log</w:t>
      </w:r>
      <w:r w:rsidR="00654CB4">
        <w:rPr>
          <w:sz w:val="24"/>
          <w:szCs w:val="24"/>
        </w:rPr>
        <w:t xml:space="preserve"> on</w:t>
      </w:r>
      <w:r w:rsidR="00CA2446">
        <w:rPr>
          <w:sz w:val="24"/>
          <w:szCs w:val="24"/>
        </w:rPr>
        <w:t xml:space="preserve"> 24</w:t>
      </w:r>
      <w:r w:rsidR="00CA2446" w:rsidRPr="00CA2446">
        <w:rPr>
          <w:sz w:val="24"/>
          <w:szCs w:val="24"/>
          <w:vertAlign w:val="superscript"/>
        </w:rPr>
        <w:t>th</w:t>
      </w:r>
      <w:r w:rsidR="00CA2446">
        <w:rPr>
          <w:sz w:val="24"/>
          <w:szCs w:val="24"/>
        </w:rPr>
        <w:t xml:space="preserve"> June 2021.</w:t>
      </w:r>
    </w:p>
    <w:p w:rsidR="00CA2446" w:rsidRDefault="00CA2446" w:rsidP="00CA2446">
      <w:pPr>
        <w:ind w:left="709"/>
        <w:rPr>
          <w:sz w:val="24"/>
          <w:szCs w:val="24"/>
          <w:highlight w:val="yellow"/>
        </w:rPr>
      </w:pPr>
    </w:p>
    <w:p w:rsidR="00251A0C" w:rsidRPr="00251A0C" w:rsidRDefault="00251A0C" w:rsidP="00CA2446">
      <w:pPr>
        <w:ind w:left="709"/>
        <w:rPr>
          <w:sz w:val="24"/>
          <w:szCs w:val="24"/>
          <w:highlight w:val="yellow"/>
        </w:rPr>
      </w:pPr>
    </w:p>
    <w:p w:rsidR="00BE210E" w:rsidRPr="00ED3F1B" w:rsidRDefault="00BE210E" w:rsidP="00916611">
      <w:pPr>
        <w:rPr>
          <w:b/>
          <w:sz w:val="24"/>
          <w:szCs w:val="24"/>
        </w:rPr>
      </w:pPr>
      <w:r w:rsidRPr="00ED3F1B">
        <w:rPr>
          <w:b/>
          <w:sz w:val="24"/>
          <w:szCs w:val="24"/>
        </w:rPr>
        <w:t>2.</w:t>
      </w:r>
      <w:r w:rsidRPr="00ED3F1B">
        <w:rPr>
          <w:b/>
          <w:sz w:val="24"/>
          <w:szCs w:val="24"/>
        </w:rPr>
        <w:tab/>
        <w:t>RECOMMENDATION</w:t>
      </w:r>
      <w:r w:rsidR="0089260C" w:rsidRPr="00ED3F1B">
        <w:rPr>
          <w:b/>
          <w:sz w:val="24"/>
          <w:szCs w:val="24"/>
        </w:rPr>
        <w:t>S</w:t>
      </w:r>
    </w:p>
    <w:p w:rsidR="00027D34" w:rsidRPr="00FA6570" w:rsidRDefault="00027D34" w:rsidP="00916611">
      <w:pPr>
        <w:rPr>
          <w:b/>
          <w:sz w:val="24"/>
          <w:szCs w:val="24"/>
          <w:highlight w:val="yellow"/>
        </w:rPr>
      </w:pPr>
    </w:p>
    <w:p w:rsidR="00625BE7" w:rsidRPr="00213524" w:rsidRDefault="00625BE7" w:rsidP="00625BE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Recommendation to the </w:t>
      </w:r>
      <w:r w:rsidR="007130A1">
        <w:rPr>
          <w:b/>
          <w:sz w:val="24"/>
          <w:szCs w:val="24"/>
        </w:rPr>
        <w:t>Strategic Director</w:t>
      </w:r>
    </w:p>
    <w:p w:rsidR="00625BE7" w:rsidRPr="00213524" w:rsidRDefault="00625BE7" w:rsidP="00625BE7">
      <w:pPr>
        <w:rPr>
          <w:sz w:val="24"/>
          <w:szCs w:val="24"/>
        </w:rPr>
      </w:pPr>
    </w:p>
    <w:p w:rsidR="00CA2446" w:rsidRDefault="00625BE7" w:rsidP="00654CB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54CB4">
        <w:rPr>
          <w:sz w:val="24"/>
          <w:szCs w:val="24"/>
        </w:rPr>
        <w:t xml:space="preserve">That the </w:t>
      </w:r>
      <w:r w:rsidR="007130A1">
        <w:rPr>
          <w:sz w:val="24"/>
          <w:szCs w:val="24"/>
        </w:rPr>
        <w:t>Strategic Director</w:t>
      </w:r>
      <w:r w:rsidRPr="00654CB4">
        <w:rPr>
          <w:sz w:val="24"/>
          <w:szCs w:val="24"/>
        </w:rPr>
        <w:t xml:space="preserve"> a</w:t>
      </w:r>
      <w:r w:rsidR="00CA2446" w:rsidRPr="00654CB4">
        <w:rPr>
          <w:sz w:val="24"/>
          <w:szCs w:val="24"/>
        </w:rPr>
        <w:t>ward the contract for phase 2 of the fire upgrade and refurbishment of Willingham Court</w:t>
      </w:r>
      <w:r w:rsidR="00654CB4" w:rsidRPr="00654CB4">
        <w:rPr>
          <w:sz w:val="24"/>
          <w:szCs w:val="24"/>
        </w:rPr>
        <w:t xml:space="preserve"> to J Tomlinson</w:t>
      </w:r>
      <w:r w:rsidR="00CA2446" w:rsidRPr="00654CB4">
        <w:rPr>
          <w:sz w:val="24"/>
          <w:szCs w:val="24"/>
        </w:rPr>
        <w:t>.</w:t>
      </w:r>
    </w:p>
    <w:p w:rsidR="00654CB4" w:rsidRPr="00654CB4" w:rsidRDefault="00654CB4" w:rsidP="00654CB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That the Housing Revenue Account Capital Programme be amended accordingly.</w:t>
      </w:r>
    </w:p>
    <w:p w:rsidR="00251A0C" w:rsidRPr="00AC61D9" w:rsidRDefault="00916611" w:rsidP="00C561E0">
      <w:pPr>
        <w:rPr>
          <w:sz w:val="24"/>
          <w:szCs w:val="24"/>
        </w:rPr>
      </w:pPr>
      <w:r w:rsidRPr="00AC61D9">
        <w:rPr>
          <w:sz w:val="24"/>
          <w:szCs w:val="24"/>
        </w:rPr>
        <w:tab/>
      </w:r>
    </w:p>
    <w:p w:rsidR="00BE210E" w:rsidRDefault="00BE210E" w:rsidP="00916611">
      <w:pPr>
        <w:rPr>
          <w:b/>
          <w:sz w:val="24"/>
          <w:szCs w:val="24"/>
        </w:rPr>
      </w:pPr>
      <w:r w:rsidRPr="00AC61D9">
        <w:rPr>
          <w:b/>
          <w:sz w:val="24"/>
          <w:szCs w:val="24"/>
        </w:rPr>
        <w:t>3.</w:t>
      </w:r>
      <w:r w:rsidRPr="00AC61D9">
        <w:rPr>
          <w:b/>
          <w:sz w:val="24"/>
          <w:szCs w:val="24"/>
        </w:rPr>
        <w:tab/>
        <w:t>BACKGROUND</w:t>
      </w:r>
    </w:p>
    <w:p w:rsidR="00AC637A" w:rsidRDefault="00AC637A" w:rsidP="00916611">
      <w:pPr>
        <w:rPr>
          <w:b/>
          <w:sz w:val="24"/>
          <w:szCs w:val="24"/>
        </w:rPr>
      </w:pPr>
    </w:p>
    <w:p w:rsidR="00A563E4" w:rsidRDefault="00A563E4" w:rsidP="00A563E4">
      <w:pPr>
        <w:pStyle w:val="L2"/>
        <w:numPr>
          <w:ilvl w:val="1"/>
          <w:numId w:val="13"/>
        </w:numPr>
        <w:ind w:left="709" w:hanging="709"/>
      </w:pPr>
      <w:r>
        <w:t xml:space="preserve">The council has gone through a procurement exercise with Gleeds in </w:t>
      </w:r>
      <w:r w:rsidR="00BB6B29">
        <w:t xml:space="preserve">the latter half of </w:t>
      </w:r>
      <w:r>
        <w:t xml:space="preserve">2019 to obtain completed tenders for capital refurbishment works at Willingham </w:t>
      </w:r>
      <w:r w:rsidR="00654CB4">
        <w:t>C</w:t>
      </w:r>
      <w:r>
        <w:t xml:space="preserve">ourt and </w:t>
      </w:r>
      <w:r w:rsidRPr="00A563E4">
        <w:t xml:space="preserve">settled on a decision to award to J Tomlinson. </w:t>
      </w:r>
      <w:r w:rsidR="00654CB4">
        <w:t>S</w:t>
      </w:r>
      <w:r w:rsidRPr="00A563E4">
        <w:t>ince</w:t>
      </w:r>
      <w:r w:rsidR="00654CB4">
        <w:t xml:space="preserve"> then,</w:t>
      </w:r>
      <w:r w:rsidRPr="00A563E4">
        <w:t xml:space="preserve"> the services of Gleeds </w:t>
      </w:r>
      <w:r w:rsidR="00654CB4">
        <w:t>has now</w:t>
      </w:r>
      <w:r w:rsidRPr="00A563E4">
        <w:t xml:space="preserve"> ceased</w:t>
      </w:r>
      <w:r>
        <w:t xml:space="preserve"> and delivery </w:t>
      </w:r>
      <w:r w:rsidR="00654CB4">
        <w:t xml:space="preserve">of the compliance and refurbishment programme has been </w:t>
      </w:r>
      <w:r>
        <w:t>brought back in</w:t>
      </w:r>
      <w:r w:rsidR="00BB6B29">
        <w:t>-</w:t>
      </w:r>
      <w:r>
        <w:t>house.</w:t>
      </w:r>
    </w:p>
    <w:p w:rsidR="00A563E4" w:rsidRDefault="00A563E4" w:rsidP="00A563E4">
      <w:pPr>
        <w:pStyle w:val="L2"/>
        <w:numPr>
          <w:ilvl w:val="1"/>
          <w:numId w:val="13"/>
        </w:numPr>
        <w:ind w:left="709" w:hanging="709"/>
      </w:pPr>
      <w:r>
        <w:t xml:space="preserve">The priced </w:t>
      </w:r>
      <w:r w:rsidR="00251A0C">
        <w:t xml:space="preserve">award </w:t>
      </w:r>
      <w:r>
        <w:t xml:space="preserve">documents </w:t>
      </w:r>
      <w:r w:rsidR="00BB6B29">
        <w:t xml:space="preserve">that were </w:t>
      </w:r>
      <w:r>
        <w:t xml:space="preserve">already in place were renamed phase 2 for reasons of clarity and in April 2021 revisited by J Tomlinson and an agreed value of £433,917.33 has been reached. </w:t>
      </w:r>
    </w:p>
    <w:p w:rsidR="00251A0C" w:rsidRDefault="00251A0C" w:rsidP="00654CB4">
      <w:pPr>
        <w:rPr>
          <w:sz w:val="24"/>
          <w:szCs w:val="24"/>
        </w:rPr>
      </w:pPr>
    </w:p>
    <w:p w:rsidR="0089260C" w:rsidRPr="00C07196" w:rsidRDefault="00BE210E" w:rsidP="0089260C">
      <w:pPr>
        <w:rPr>
          <w:b/>
          <w:sz w:val="24"/>
          <w:szCs w:val="24"/>
        </w:rPr>
      </w:pPr>
      <w:r w:rsidRPr="00C07196">
        <w:rPr>
          <w:b/>
          <w:sz w:val="24"/>
          <w:szCs w:val="24"/>
        </w:rPr>
        <w:t>4.</w:t>
      </w:r>
      <w:r w:rsidRPr="00C07196">
        <w:rPr>
          <w:b/>
          <w:sz w:val="24"/>
          <w:szCs w:val="24"/>
        </w:rPr>
        <w:tab/>
      </w:r>
      <w:r w:rsidR="0089260C" w:rsidRPr="00C07196">
        <w:rPr>
          <w:b/>
          <w:sz w:val="24"/>
          <w:szCs w:val="24"/>
        </w:rPr>
        <w:t>OPTIONS AVAILABLE</w:t>
      </w:r>
    </w:p>
    <w:p w:rsidR="00D4128B" w:rsidRDefault="00D4128B" w:rsidP="0089260C">
      <w:pPr>
        <w:rPr>
          <w:b/>
          <w:sz w:val="24"/>
          <w:szCs w:val="24"/>
          <w:highlight w:val="yellow"/>
        </w:rPr>
      </w:pPr>
    </w:p>
    <w:p w:rsidR="00D932C6" w:rsidRDefault="009A678F" w:rsidP="00654CB4">
      <w:pPr>
        <w:ind w:left="720" w:hanging="720"/>
        <w:rPr>
          <w:sz w:val="24"/>
          <w:szCs w:val="24"/>
        </w:rPr>
      </w:pPr>
      <w:r w:rsidRPr="009A678F">
        <w:rPr>
          <w:sz w:val="24"/>
          <w:szCs w:val="24"/>
        </w:rPr>
        <w:t>4.1.</w:t>
      </w:r>
      <w:r w:rsidRPr="009A678F">
        <w:rPr>
          <w:sz w:val="24"/>
          <w:szCs w:val="24"/>
        </w:rPr>
        <w:tab/>
      </w:r>
      <w:r w:rsidR="00C07196" w:rsidRPr="009A678F">
        <w:rPr>
          <w:sz w:val="24"/>
          <w:szCs w:val="24"/>
          <w:u w:val="single"/>
        </w:rPr>
        <w:t>Option</w:t>
      </w:r>
      <w:r w:rsidR="005618C9">
        <w:rPr>
          <w:sz w:val="24"/>
          <w:szCs w:val="24"/>
          <w:u w:val="single"/>
        </w:rPr>
        <w:t xml:space="preserve"> 1</w:t>
      </w:r>
      <w:r w:rsidR="005618C9">
        <w:rPr>
          <w:sz w:val="24"/>
          <w:szCs w:val="24"/>
        </w:rPr>
        <w:t xml:space="preserve"> -</w:t>
      </w:r>
      <w:r w:rsidR="00C07196" w:rsidRPr="005618C9">
        <w:rPr>
          <w:sz w:val="24"/>
          <w:szCs w:val="24"/>
        </w:rPr>
        <w:t xml:space="preserve"> (recommended)</w:t>
      </w:r>
      <w:r w:rsidR="00C07196" w:rsidRPr="009A678F">
        <w:rPr>
          <w:sz w:val="24"/>
          <w:szCs w:val="24"/>
        </w:rPr>
        <w:t xml:space="preserve"> </w:t>
      </w:r>
      <w:r w:rsidR="0086467B" w:rsidRPr="009A678F">
        <w:rPr>
          <w:sz w:val="24"/>
          <w:szCs w:val="24"/>
        </w:rPr>
        <w:t>– That</w:t>
      </w:r>
      <w:r w:rsidR="00C07196" w:rsidRPr="009A678F">
        <w:rPr>
          <w:sz w:val="24"/>
          <w:szCs w:val="24"/>
        </w:rPr>
        <w:t xml:space="preserve"> the </w:t>
      </w:r>
      <w:r w:rsidR="007130A1">
        <w:rPr>
          <w:sz w:val="24"/>
          <w:szCs w:val="24"/>
        </w:rPr>
        <w:t>Strategic Director</w:t>
      </w:r>
      <w:r w:rsidR="00C07196" w:rsidRPr="009A678F">
        <w:rPr>
          <w:sz w:val="24"/>
          <w:szCs w:val="24"/>
        </w:rPr>
        <w:t xml:space="preserve"> authorise </w:t>
      </w:r>
      <w:r w:rsidR="00A21B75" w:rsidRPr="009A678F">
        <w:rPr>
          <w:sz w:val="24"/>
          <w:szCs w:val="24"/>
        </w:rPr>
        <w:t xml:space="preserve">the </w:t>
      </w:r>
      <w:r w:rsidR="00D932C6">
        <w:rPr>
          <w:sz w:val="24"/>
          <w:szCs w:val="24"/>
        </w:rPr>
        <w:t>award of contract to J Tomlinson</w:t>
      </w:r>
      <w:r w:rsidR="006C7AFD">
        <w:rPr>
          <w:sz w:val="24"/>
          <w:szCs w:val="24"/>
        </w:rPr>
        <w:t xml:space="preserve"> for the value </w:t>
      </w:r>
      <w:r w:rsidR="006C7AFD">
        <w:t xml:space="preserve">of </w:t>
      </w:r>
      <w:r w:rsidR="006C7AFD" w:rsidRPr="00654CB4">
        <w:rPr>
          <w:sz w:val="24"/>
          <w:szCs w:val="24"/>
        </w:rPr>
        <w:t>£433,917.33</w:t>
      </w:r>
      <w:r w:rsidR="00654CB4">
        <w:rPr>
          <w:sz w:val="24"/>
          <w:szCs w:val="24"/>
        </w:rPr>
        <w:t xml:space="preserve"> and the housing revenue account capital programme be amended accordingly</w:t>
      </w:r>
      <w:r w:rsidR="00D932C6" w:rsidRPr="00654CB4">
        <w:rPr>
          <w:sz w:val="24"/>
          <w:szCs w:val="24"/>
        </w:rPr>
        <w:t>.</w:t>
      </w:r>
      <w:r w:rsidR="00D932C6">
        <w:rPr>
          <w:sz w:val="24"/>
          <w:szCs w:val="24"/>
        </w:rPr>
        <w:t xml:space="preserve"> </w:t>
      </w:r>
      <w:r w:rsidR="005A5C09">
        <w:rPr>
          <w:sz w:val="24"/>
          <w:szCs w:val="24"/>
        </w:rPr>
        <w:t>T</w:t>
      </w:r>
      <w:r w:rsidR="00D932C6">
        <w:rPr>
          <w:sz w:val="24"/>
          <w:szCs w:val="24"/>
        </w:rPr>
        <w:t xml:space="preserve">his will permit speedy </w:t>
      </w:r>
      <w:r w:rsidR="006C7AFD">
        <w:rPr>
          <w:sz w:val="24"/>
          <w:szCs w:val="24"/>
        </w:rPr>
        <w:lastRenderedPageBreak/>
        <w:t xml:space="preserve">commencement </w:t>
      </w:r>
      <w:r w:rsidR="00D932C6">
        <w:rPr>
          <w:sz w:val="24"/>
          <w:szCs w:val="24"/>
        </w:rPr>
        <w:t>of important fire safety and compliance works</w:t>
      </w:r>
      <w:r w:rsidR="00654CB4">
        <w:rPr>
          <w:sz w:val="24"/>
          <w:szCs w:val="24"/>
        </w:rPr>
        <w:t xml:space="preserve"> in line with Nottinghamshire Fire and Rescue recommendations.</w:t>
      </w:r>
    </w:p>
    <w:p w:rsidR="00855500" w:rsidRPr="006137E6" w:rsidRDefault="00855500" w:rsidP="00855500">
      <w:pPr>
        <w:ind w:left="680" w:firstLine="29"/>
        <w:rPr>
          <w:sz w:val="24"/>
          <w:szCs w:val="24"/>
          <w:u w:val="single"/>
        </w:rPr>
      </w:pPr>
    </w:p>
    <w:p w:rsidR="005618C9" w:rsidRDefault="006B0022" w:rsidP="00C07196">
      <w:pPr>
        <w:ind w:left="720" w:hanging="720"/>
        <w:rPr>
          <w:sz w:val="24"/>
          <w:szCs w:val="24"/>
        </w:rPr>
      </w:pPr>
      <w:r w:rsidRPr="00C07196">
        <w:rPr>
          <w:sz w:val="24"/>
          <w:szCs w:val="24"/>
        </w:rPr>
        <w:t>4.2</w:t>
      </w:r>
      <w:r w:rsidR="005618C9">
        <w:rPr>
          <w:sz w:val="24"/>
          <w:szCs w:val="24"/>
        </w:rPr>
        <w:t>.</w:t>
      </w:r>
      <w:r w:rsidR="005618C9">
        <w:rPr>
          <w:sz w:val="24"/>
          <w:szCs w:val="24"/>
        </w:rPr>
        <w:tab/>
      </w:r>
      <w:r w:rsidR="00C07196" w:rsidRPr="00472668">
        <w:rPr>
          <w:sz w:val="24"/>
          <w:szCs w:val="24"/>
          <w:u w:val="single"/>
        </w:rPr>
        <w:t>Option 2</w:t>
      </w:r>
      <w:r w:rsidR="005618C9">
        <w:rPr>
          <w:sz w:val="24"/>
          <w:szCs w:val="24"/>
        </w:rPr>
        <w:t xml:space="preserve"> -</w:t>
      </w:r>
      <w:r w:rsidR="00C07196" w:rsidRPr="005618C9">
        <w:rPr>
          <w:sz w:val="24"/>
          <w:szCs w:val="24"/>
        </w:rPr>
        <w:t xml:space="preserve"> That </w:t>
      </w:r>
      <w:r w:rsidR="005618C9" w:rsidRPr="009A678F">
        <w:rPr>
          <w:sz w:val="24"/>
          <w:szCs w:val="24"/>
        </w:rPr>
        <w:t xml:space="preserve">the </w:t>
      </w:r>
      <w:r w:rsidR="007130A1">
        <w:rPr>
          <w:sz w:val="24"/>
          <w:szCs w:val="24"/>
        </w:rPr>
        <w:t>Strategic Director</w:t>
      </w:r>
      <w:r w:rsidR="005618C9">
        <w:rPr>
          <w:sz w:val="24"/>
          <w:szCs w:val="24"/>
        </w:rPr>
        <w:t xml:space="preserve"> request that </w:t>
      </w:r>
      <w:r w:rsidR="00D932C6">
        <w:rPr>
          <w:sz w:val="24"/>
          <w:szCs w:val="24"/>
        </w:rPr>
        <w:t>a new procurement exercise is undertaken. T</w:t>
      </w:r>
      <w:r w:rsidR="005618C9">
        <w:rPr>
          <w:sz w:val="24"/>
          <w:szCs w:val="24"/>
        </w:rPr>
        <w:t xml:space="preserve">his is unlikely to reduce the cost of the works </w:t>
      </w:r>
      <w:r w:rsidR="00D932C6">
        <w:rPr>
          <w:sz w:val="24"/>
          <w:szCs w:val="24"/>
        </w:rPr>
        <w:t>already priced and does not alter the scope of those works. In a</w:t>
      </w:r>
      <w:r w:rsidR="006C7AFD">
        <w:rPr>
          <w:sz w:val="24"/>
          <w:szCs w:val="24"/>
        </w:rPr>
        <w:t>ddition</w:t>
      </w:r>
      <w:r w:rsidR="00654CB4">
        <w:rPr>
          <w:sz w:val="24"/>
          <w:szCs w:val="24"/>
        </w:rPr>
        <w:t>,</w:t>
      </w:r>
      <w:r w:rsidR="006C7AFD">
        <w:rPr>
          <w:sz w:val="24"/>
          <w:szCs w:val="24"/>
        </w:rPr>
        <w:t xml:space="preserve"> it causes delays in commencing</w:t>
      </w:r>
      <w:r w:rsidR="00D932C6">
        <w:rPr>
          <w:sz w:val="24"/>
          <w:szCs w:val="24"/>
        </w:rPr>
        <w:t xml:space="preserve"> important work at the complex</w:t>
      </w:r>
      <w:r w:rsidR="00654CB4">
        <w:rPr>
          <w:sz w:val="24"/>
          <w:szCs w:val="24"/>
        </w:rPr>
        <w:t xml:space="preserve"> in line with Nottinghamshire Fire and Rescue recommendations</w:t>
      </w:r>
      <w:r w:rsidR="00D932C6">
        <w:rPr>
          <w:sz w:val="24"/>
          <w:szCs w:val="24"/>
        </w:rPr>
        <w:t>.</w:t>
      </w:r>
    </w:p>
    <w:p w:rsidR="005618C9" w:rsidRDefault="005618C9" w:rsidP="00C07196">
      <w:pPr>
        <w:ind w:left="720" w:hanging="720"/>
        <w:rPr>
          <w:sz w:val="24"/>
          <w:szCs w:val="24"/>
        </w:rPr>
      </w:pPr>
    </w:p>
    <w:p w:rsidR="00D932C6" w:rsidRDefault="005618C9" w:rsidP="00C0719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r w:rsidRPr="00472668">
        <w:rPr>
          <w:sz w:val="24"/>
          <w:szCs w:val="24"/>
          <w:u w:val="single"/>
        </w:rPr>
        <w:t xml:space="preserve">Option </w:t>
      </w:r>
      <w:r>
        <w:rPr>
          <w:sz w:val="24"/>
          <w:szCs w:val="24"/>
          <w:u w:val="single"/>
        </w:rPr>
        <w:t>3</w:t>
      </w:r>
      <w:r w:rsidRPr="00472668">
        <w:rPr>
          <w:sz w:val="24"/>
          <w:szCs w:val="24"/>
          <w:u w:val="single"/>
        </w:rPr>
        <w:t xml:space="preserve"> </w:t>
      </w:r>
      <w:r w:rsidRPr="005618C9">
        <w:rPr>
          <w:sz w:val="24"/>
          <w:szCs w:val="24"/>
        </w:rPr>
        <w:t>- T</w:t>
      </w:r>
      <w:r w:rsidR="00C07196" w:rsidRPr="005618C9">
        <w:rPr>
          <w:sz w:val="24"/>
          <w:szCs w:val="24"/>
        </w:rPr>
        <w:t xml:space="preserve">he </w:t>
      </w:r>
      <w:r w:rsidR="007130A1">
        <w:rPr>
          <w:sz w:val="24"/>
          <w:szCs w:val="24"/>
        </w:rPr>
        <w:t>Strategic Director</w:t>
      </w:r>
      <w:r w:rsidR="00C07196" w:rsidRPr="005618C9">
        <w:rPr>
          <w:sz w:val="24"/>
          <w:szCs w:val="24"/>
        </w:rPr>
        <w:t xml:space="preserve"> does not authorise the </w:t>
      </w:r>
      <w:r w:rsidR="00A21B75" w:rsidRPr="005618C9">
        <w:rPr>
          <w:sz w:val="24"/>
          <w:szCs w:val="24"/>
        </w:rPr>
        <w:t>award</w:t>
      </w:r>
      <w:r w:rsidR="00C07196" w:rsidRPr="005618C9">
        <w:rPr>
          <w:sz w:val="24"/>
          <w:szCs w:val="24"/>
        </w:rPr>
        <w:t xml:space="preserve"> of the contract – This option</w:t>
      </w:r>
      <w:r w:rsidR="00C07196">
        <w:rPr>
          <w:sz w:val="24"/>
          <w:szCs w:val="24"/>
        </w:rPr>
        <w:t xml:space="preserve"> is not recommended as it will </w:t>
      </w:r>
      <w:r w:rsidR="00D932C6">
        <w:rPr>
          <w:sz w:val="24"/>
          <w:szCs w:val="24"/>
        </w:rPr>
        <w:t xml:space="preserve">affect the safety of the complex and </w:t>
      </w:r>
      <w:r w:rsidR="00AA4C04">
        <w:rPr>
          <w:sz w:val="24"/>
          <w:szCs w:val="24"/>
        </w:rPr>
        <w:t xml:space="preserve">an increased </w:t>
      </w:r>
      <w:r w:rsidR="00D932C6">
        <w:rPr>
          <w:sz w:val="24"/>
          <w:szCs w:val="24"/>
        </w:rPr>
        <w:t>potential for statutory notifications being enforced</w:t>
      </w:r>
      <w:r w:rsidR="00654CB4">
        <w:rPr>
          <w:sz w:val="24"/>
          <w:szCs w:val="24"/>
        </w:rPr>
        <w:t xml:space="preserve"> by the Nottinghamshire Fire and Rescue service</w:t>
      </w:r>
      <w:r w:rsidR="00D932C6">
        <w:rPr>
          <w:sz w:val="24"/>
          <w:szCs w:val="24"/>
        </w:rPr>
        <w:t>.</w:t>
      </w:r>
    </w:p>
    <w:p w:rsidR="00C053C6" w:rsidRPr="00FA6570" w:rsidRDefault="00C053C6" w:rsidP="00654CB4">
      <w:pPr>
        <w:rPr>
          <w:sz w:val="24"/>
          <w:szCs w:val="24"/>
          <w:highlight w:val="yellow"/>
        </w:rPr>
      </w:pPr>
    </w:p>
    <w:p w:rsidR="006F7ABC" w:rsidRPr="00721752" w:rsidRDefault="006F7ABC" w:rsidP="00C053C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b/>
          <w:sz w:val="24"/>
          <w:szCs w:val="24"/>
        </w:rPr>
      </w:pPr>
      <w:r w:rsidRPr="00721752">
        <w:rPr>
          <w:b/>
          <w:sz w:val="24"/>
          <w:szCs w:val="24"/>
        </w:rPr>
        <w:t>RISK ASSESSMENT</w:t>
      </w:r>
      <w:r w:rsidR="00B76F23" w:rsidRPr="00721752">
        <w:rPr>
          <w:b/>
          <w:sz w:val="24"/>
          <w:szCs w:val="24"/>
        </w:rPr>
        <w:t xml:space="preserve"> OF RECOMMENDATIONS AND OPTIONS</w:t>
      </w:r>
    </w:p>
    <w:p w:rsidR="006F7ABC" w:rsidRPr="00721752" w:rsidRDefault="006F7ABC" w:rsidP="0089260C">
      <w:pPr>
        <w:rPr>
          <w:sz w:val="24"/>
          <w:szCs w:val="24"/>
        </w:rPr>
      </w:pPr>
    </w:p>
    <w:tbl>
      <w:tblPr>
        <w:tblStyle w:val="TableGrid"/>
        <w:tblW w:w="938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8"/>
        <w:gridCol w:w="3120"/>
        <w:gridCol w:w="1200"/>
        <w:gridCol w:w="3480"/>
      </w:tblGrid>
      <w:tr w:rsidR="007C72A1" w:rsidRPr="00FA6570" w:rsidTr="00D72DE0">
        <w:tc>
          <w:tcPr>
            <w:tcW w:w="1588" w:type="dxa"/>
          </w:tcPr>
          <w:p w:rsidR="007C72A1" w:rsidRPr="00721752" w:rsidRDefault="007C72A1" w:rsidP="008633DD">
            <w:pPr>
              <w:rPr>
                <w:b/>
                <w:bCs/>
                <w:sz w:val="24"/>
                <w:szCs w:val="24"/>
              </w:rPr>
            </w:pPr>
            <w:r w:rsidRPr="00721752">
              <w:rPr>
                <w:b/>
                <w:bCs/>
                <w:sz w:val="24"/>
                <w:szCs w:val="24"/>
              </w:rPr>
              <w:t xml:space="preserve">Risk </w:t>
            </w:r>
          </w:p>
        </w:tc>
        <w:tc>
          <w:tcPr>
            <w:tcW w:w="3120" w:type="dxa"/>
          </w:tcPr>
          <w:p w:rsidR="007C72A1" w:rsidRPr="00721752" w:rsidRDefault="007C72A1" w:rsidP="008633DD">
            <w:pPr>
              <w:rPr>
                <w:b/>
                <w:bCs/>
                <w:sz w:val="24"/>
                <w:szCs w:val="24"/>
              </w:rPr>
            </w:pPr>
            <w:r w:rsidRPr="00721752">
              <w:rPr>
                <w:b/>
                <w:bCs/>
                <w:sz w:val="24"/>
                <w:szCs w:val="24"/>
              </w:rPr>
              <w:t xml:space="preserve">Risk Assessment </w:t>
            </w:r>
          </w:p>
        </w:tc>
        <w:tc>
          <w:tcPr>
            <w:tcW w:w="1200" w:type="dxa"/>
          </w:tcPr>
          <w:p w:rsidR="007C72A1" w:rsidRPr="00721752" w:rsidRDefault="007C72A1" w:rsidP="008633DD">
            <w:pPr>
              <w:rPr>
                <w:b/>
                <w:bCs/>
                <w:sz w:val="24"/>
                <w:szCs w:val="24"/>
              </w:rPr>
            </w:pPr>
            <w:r w:rsidRPr="00721752">
              <w:rPr>
                <w:b/>
                <w:bCs/>
                <w:sz w:val="24"/>
                <w:szCs w:val="24"/>
              </w:rPr>
              <w:t xml:space="preserve">Risk Level </w:t>
            </w:r>
          </w:p>
        </w:tc>
        <w:tc>
          <w:tcPr>
            <w:tcW w:w="3480" w:type="dxa"/>
          </w:tcPr>
          <w:p w:rsidR="007C72A1" w:rsidRPr="00721752" w:rsidRDefault="007C72A1" w:rsidP="008633DD">
            <w:pPr>
              <w:rPr>
                <w:b/>
                <w:bCs/>
                <w:sz w:val="24"/>
                <w:szCs w:val="24"/>
              </w:rPr>
            </w:pPr>
            <w:r w:rsidRPr="00721752">
              <w:rPr>
                <w:b/>
                <w:bCs/>
                <w:sz w:val="24"/>
                <w:szCs w:val="24"/>
              </w:rPr>
              <w:t xml:space="preserve">Risk Management </w:t>
            </w:r>
          </w:p>
        </w:tc>
      </w:tr>
      <w:tr w:rsidR="00721752" w:rsidRPr="00FA6570" w:rsidTr="00D72DE0">
        <w:tc>
          <w:tcPr>
            <w:tcW w:w="1588" w:type="dxa"/>
          </w:tcPr>
          <w:p w:rsidR="00721752" w:rsidRDefault="00C65735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1</w:t>
            </w:r>
          </w:p>
          <w:p w:rsidR="00654CB4" w:rsidRDefault="00654CB4" w:rsidP="00721752">
            <w:pPr>
              <w:rPr>
                <w:sz w:val="24"/>
                <w:szCs w:val="24"/>
              </w:rPr>
            </w:pPr>
          </w:p>
          <w:p w:rsidR="00654CB4" w:rsidRPr="00E83515" w:rsidRDefault="00654CB4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</w:t>
            </w:r>
          </w:p>
        </w:tc>
        <w:tc>
          <w:tcPr>
            <w:tcW w:w="3120" w:type="dxa"/>
          </w:tcPr>
          <w:p w:rsidR="00654CB4" w:rsidRDefault="00654CB4" w:rsidP="00C65735">
            <w:pPr>
              <w:jc w:val="left"/>
              <w:rPr>
                <w:sz w:val="24"/>
                <w:szCs w:val="24"/>
              </w:rPr>
            </w:pPr>
          </w:p>
          <w:p w:rsidR="00654CB4" w:rsidRDefault="00654CB4" w:rsidP="00C65735">
            <w:pPr>
              <w:jc w:val="left"/>
              <w:rPr>
                <w:sz w:val="24"/>
                <w:szCs w:val="24"/>
              </w:rPr>
            </w:pPr>
          </w:p>
          <w:p w:rsidR="00721752" w:rsidRPr="00E83515" w:rsidRDefault="00654CB4" w:rsidP="00654CB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the upgrade works  cost more than the tende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red cost. </w:t>
            </w:r>
          </w:p>
        </w:tc>
        <w:tc>
          <w:tcPr>
            <w:tcW w:w="1200" w:type="dxa"/>
          </w:tcPr>
          <w:p w:rsidR="00654CB4" w:rsidRDefault="00654CB4" w:rsidP="00721752">
            <w:pPr>
              <w:rPr>
                <w:sz w:val="24"/>
                <w:szCs w:val="24"/>
              </w:rPr>
            </w:pPr>
          </w:p>
          <w:p w:rsidR="00654CB4" w:rsidRDefault="00654CB4" w:rsidP="00721752">
            <w:pPr>
              <w:rPr>
                <w:sz w:val="24"/>
                <w:szCs w:val="24"/>
              </w:rPr>
            </w:pPr>
          </w:p>
          <w:p w:rsidR="00721752" w:rsidRPr="00E83515" w:rsidRDefault="00721752" w:rsidP="00721752">
            <w:pPr>
              <w:rPr>
                <w:sz w:val="24"/>
                <w:szCs w:val="24"/>
              </w:rPr>
            </w:pPr>
            <w:r w:rsidRPr="00E83515">
              <w:rPr>
                <w:sz w:val="24"/>
                <w:szCs w:val="24"/>
              </w:rPr>
              <w:t>Low</w:t>
            </w:r>
          </w:p>
        </w:tc>
        <w:tc>
          <w:tcPr>
            <w:tcW w:w="3480" w:type="dxa"/>
          </w:tcPr>
          <w:p w:rsidR="00654CB4" w:rsidRDefault="00654CB4" w:rsidP="00C65735">
            <w:pPr>
              <w:jc w:val="left"/>
              <w:rPr>
                <w:sz w:val="24"/>
                <w:szCs w:val="24"/>
              </w:rPr>
            </w:pPr>
          </w:p>
          <w:p w:rsidR="00654CB4" w:rsidRDefault="00654CB4" w:rsidP="00C65735">
            <w:pPr>
              <w:jc w:val="left"/>
              <w:rPr>
                <w:sz w:val="24"/>
                <w:szCs w:val="24"/>
              </w:rPr>
            </w:pPr>
          </w:p>
          <w:p w:rsidR="00B907AF" w:rsidRDefault="00721752" w:rsidP="00C657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costs associated with this work are </w:t>
            </w:r>
            <w:r w:rsidR="00BB6B29">
              <w:rPr>
                <w:sz w:val="24"/>
                <w:szCs w:val="24"/>
              </w:rPr>
              <w:t xml:space="preserve">already </w:t>
            </w:r>
            <w:r>
              <w:rPr>
                <w:sz w:val="24"/>
                <w:szCs w:val="24"/>
              </w:rPr>
              <w:t>contained within the Capital and Housing Repairs Budget</w:t>
            </w:r>
            <w:r w:rsidR="002C55CA">
              <w:rPr>
                <w:sz w:val="24"/>
                <w:szCs w:val="24"/>
              </w:rPr>
              <w:t>.</w:t>
            </w:r>
          </w:p>
          <w:p w:rsidR="00C65735" w:rsidRDefault="00B907AF" w:rsidP="00C657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65735">
              <w:rPr>
                <w:sz w:val="24"/>
                <w:szCs w:val="24"/>
              </w:rPr>
              <w:t xml:space="preserve">anaged as a </w:t>
            </w:r>
            <w:r>
              <w:rPr>
                <w:sz w:val="24"/>
                <w:szCs w:val="24"/>
              </w:rPr>
              <w:t xml:space="preserve">‘Notifiable’ </w:t>
            </w:r>
            <w:r w:rsidR="00C65735">
              <w:rPr>
                <w:sz w:val="24"/>
                <w:szCs w:val="24"/>
              </w:rPr>
              <w:t xml:space="preserve">form of contract with </w:t>
            </w:r>
            <w:r w:rsidR="00654CB4">
              <w:rPr>
                <w:sz w:val="24"/>
                <w:szCs w:val="24"/>
              </w:rPr>
              <w:t xml:space="preserve">full performance, programme and health and safety </w:t>
            </w:r>
            <w:r>
              <w:rPr>
                <w:sz w:val="24"/>
                <w:szCs w:val="24"/>
              </w:rPr>
              <w:t xml:space="preserve">monitoring in place along with </w:t>
            </w:r>
            <w:r w:rsidR="00C65735">
              <w:rPr>
                <w:sz w:val="24"/>
                <w:szCs w:val="24"/>
              </w:rPr>
              <w:t>regular meetings including monthly finance updates.</w:t>
            </w:r>
          </w:p>
          <w:p w:rsidR="00721752" w:rsidRPr="00E83515" w:rsidRDefault="00C65735" w:rsidP="00C657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variations </w:t>
            </w:r>
            <w:r w:rsidR="00654CB4">
              <w:rPr>
                <w:sz w:val="24"/>
                <w:szCs w:val="24"/>
              </w:rPr>
              <w:t xml:space="preserve">or unforeseen costs </w:t>
            </w:r>
            <w:r>
              <w:rPr>
                <w:sz w:val="24"/>
                <w:szCs w:val="24"/>
              </w:rPr>
              <w:t>will need formal</w:t>
            </w:r>
            <w:r w:rsidR="00B907AF">
              <w:rPr>
                <w:sz w:val="24"/>
                <w:szCs w:val="24"/>
              </w:rPr>
              <w:t xml:space="preserve"> approval via the contract terms.</w:t>
            </w:r>
          </w:p>
        </w:tc>
      </w:tr>
      <w:tr w:rsidR="004C1884" w:rsidRPr="00FA6570" w:rsidTr="00D72DE0">
        <w:tc>
          <w:tcPr>
            <w:tcW w:w="1588" w:type="dxa"/>
          </w:tcPr>
          <w:p w:rsidR="004C1884" w:rsidRDefault="00C65735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2</w:t>
            </w:r>
          </w:p>
          <w:p w:rsidR="00D72DE0" w:rsidRDefault="00D72DE0" w:rsidP="00721752">
            <w:pPr>
              <w:rPr>
                <w:sz w:val="24"/>
                <w:szCs w:val="24"/>
              </w:rPr>
            </w:pPr>
          </w:p>
          <w:p w:rsidR="00D72DE0" w:rsidRPr="00E83515" w:rsidRDefault="00D72DE0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delay</w:t>
            </w:r>
          </w:p>
        </w:tc>
        <w:tc>
          <w:tcPr>
            <w:tcW w:w="3120" w:type="dxa"/>
          </w:tcPr>
          <w:p w:rsidR="00D72DE0" w:rsidRDefault="00D72DE0" w:rsidP="00B907AF">
            <w:pPr>
              <w:jc w:val="left"/>
              <w:rPr>
                <w:sz w:val="24"/>
                <w:szCs w:val="24"/>
              </w:rPr>
            </w:pPr>
          </w:p>
          <w:p w:rsidR="00D72DE0" w:rsidRDefault="00D72DE0" w:rsidP="00B907AF">
            <w:pPr>
              <w:jc w:val="left"/>
              <w:rPr>
                <w:sz w:val="24"/>
                <w:szCs w:val="24"/>
              </w:rPr>
            </w:pPr>
          </w:p>
          <w:p w:rsidR="004C1884" w:rsidRPr="00E83515" w:rsidRDefault="00D72DE0" w:rsidP="00B90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longer procurement process w</w:t>
            </w:r>
            <w:r w:rsidR="001D6116">
              <w:rPr>
                <w:sz w:val="24"/>
                <w:szCs w:val="24"/>
              </w:rPr>
              <w:t xml:space="preserve">ould delay delivery of the works by approximately 3 to </w:t>
            </w:r>
            <w:r w:rsidR="00B907AF">
              <w:rPr>
                <w:sz w:val="24"/>
                <w:szCs w:val="24"/>
              </w:rPr>
              <w:t>6</w:t>
            </w:r>
            <w:r w:rsidR="001D6116">
              <w:rPr>
                <w:sz w:val="24"/>
                <w:szCs w:val="24"/>
              </w:rPr>
              <w:t xml:space="preserve"> months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D72DE0" w:rsidRDefault="00D72DE0" w:rsidP="00721752">
            <w:pPr>
              <w:rPr>
                <w:sz w:val="24"/>
                <w:szCs w:val="24"/>
              </w:rPr>
            </w:pPr>
          </w:p>
          <w:p w:rsidR="00D72DE0" w:rsidRDefault="00D72DE0" w:rsidP="00721752">
            <w:pPr>
              <w:rPr>
                <w:sz w:val="24"/>
                <w:szCs w:val="24"/>
              </w:rPr>
            </w:pPr>
          </w:p>
          <w:p w:rsidR="004C1884" w:rsidRPr="00E83515" w:rsidRDefault="002C55CA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3480" w:type="dxa"/>
          </w:tcPr>
          <w:p w:rsidR="00D72DE0" w:rsidRDefault="00D72DE0" w:rsidP="00B907AF">
            <w:pPr>
              <w:jc w:val="left"/>
              <w:rPr>
                <w:sz w:val="24"/>
                <w:szCs w:val="24"/>
              </w:rPr>
            </w:pPr>
          </w:p>
          <w:p w:rsidR="00D72DE0" w:rsidRDefault="00D72DE0" w:rsidP="00B907AF">
            <w:pPr>
              <w:jc w:val="left"/>
              <w:rPr>
                <w:sz w:val="24"/>
                <w:szCs w:val="24"/>
              </w:rPr>
            </w:pPr>
          </w:p>
          <w:p w:rsidR="00B907AF" w:rsidRDefault="00B907AF" w:rsidP="00B90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costs associated with this work are already within the Capital and Housing Repairs Budget.</w:t>
            </w:r>
          </w:p>
          <w:p w:rsidR="004C1884" w:rsidRDefault="00B907AF" w:rsidP="000D03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fire risk assessment would be necessary during the procurement period.</w:t>
            </w:r>
          </w:p>
          <w:p w:rsidR="00D72DE0" w:rsidRDefault="00D72DE0" w:rsidP="000D037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liaison with NFRS.</w:t>
            </w:r>
          </w:p>
        </w:tc>
      </w:tr>
      <w:tr w:rsidR="00721752" w:rsidRPr="00FA6570" w:rsidTr="00D72DE0">
        <w:tc>
          <w:tcPr>
            <w:tcW w:w="1588" w:type="dxa"/>
          </w:tcPr>
          <w:p w:rsidR="00721752" w:rsidRDefault="00C65735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3</w:t>
            </w:r>
          </w:p>
          <w:p w:rsidR="00D72DE0" w:rsidRDefault="00D72DE0" w:rsidP="00721752">
            <w:pPr>
              <w:rPr>
                <w:sz w:val="24"/>
                <w:szCs w:val="24"/>
              </w:rPr>
            </w:pPr>
          </w:p>
          <w:p w:rsidR="00D72DE0" w:rsidRPr="00E83515" w:rsidRDefault="00D72DE0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Reputational and Legal</w:t>
            </w:r>
          </w:p>
        </w:tc>
        <w:tc>
          <w:tcPr>
            <w:tcW w:w="3120" w:type="dxa"/>
          </w:tcPr>
          <w:p w:rsidR="00721752" w:rsidRPr="00E83515" w:rsidRDefault="00C65735" w:rsidP="007217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Considered to be high as this could have an extreme impact on a large number of potentially vulnerable tenants</w:t>
            </w:r>
            <w:r w:rsidR="00D72DE0">
              <w:rPr>
                <w:sz w:val="24"/>
                <w:szCs w:val="24"/>
              </w:rPr>
              <w:t xml:space="preserve"> should works not continue and could expose the council to the risk of enforcement action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721752" w:rsidRPr="00E83515" w:rsidRDefault="00C65735" w:rsidP="0072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3480" w:type="dxa"/>
          </w:tcPr>
          <w:p w:rsidR="00B907AF" w:rsidRDefault="00B907AF" w:rsidP="007217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the maintenance and test/inspection regimes to the building.</w:t>
            </w:r>
          </w:p>
          <w:p w:rsidR="00D72DE0" w:rsidRDefault="00D72DE0" w:rsidP="00721752">
            <w:pPr>
              <w:jc w:val="left"/>
              <w:rPr>
                <w:sz w:val="24"/>
                <w:szCs w:val="24"/>
              </w:rPr>
            </w:pPr>
          </w:p>
          <w:p w:rsidR="00B907AF" w:rsidRDefault="00B907AF" w:rsidP="007217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monitor housing management procedures.</w:t>
            </w:r>
          </w:p>
          <w:p w:rsidR="00D72DE0" w:rsidRDefault="00D72DE0" w:rsidP="00721752">
            <w:pPr>
              <w:jc w:val="left"/>
              <w:rPr>
                <w:sz w:val="24"/>
                <w:szCs w:val="24"/>
              </w:rPr>
            </w:pPr>
          </w:p>
          <w:p w:rsidR="00D72DE0" w:rsidRDefault="00D72DE0" w:rsidP="007217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liaison with NFRS.</w:t>
            </w:r>
          </w:p>
          <w:p w:rsidR="00721752" w:rsidRPr="00E83515" w:rsidRDefault="00B907AF" w:rsidP="00B907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51A0C" w:rsidRDefault="00251A0C" w:rsidP="0089260C">
      <w:pPr>
        <w:rPr>
          <w:b/>
          <w:sz w:val="24"/>
          <w:szCs w:val="24"/>
        </w:rPr>
      </w:pPr>
    </w:p>
    <w:p w:rsidR="00EA4AF2" w:rsidRDefault="00EA4AF2" w:rsidP="0089260C">
      <w:pPr>
        <w:rPr>
          <w:b/>
          <w:sz w:val="24"/>
          <w:szCs w:val="24"/>
        </w:rPr>
      </w:pPr>
    </w:p>
    <w:p w:rsidR="0089260C" w:rsidRPr="00721752" w:rsidRDefault="002D60D5" w:rsidP="0089260C">
      <w:pPr>
        <w:rPr>
          <w:b/>
          <w:sz w:val="24"/>
          <w:szCs w:val="24"/>
        </w:rPr>
      </w:pPr>
      <w:r w:rsidRPr="00721752">
        <w:rPr>
          <w:b/>
          <w:sz w:val="24"/>
          <w:szCs w:val="24"/>
        </w:rPr>
        <w:t>6</w:t>
      </w:r>
      <w:r w:rsidR="0089260C" w:rsidRPr="00721752">
        <w:rPr>
          <w:b/>
          <w:sz w:val="24"/>
          <w:szCs w:val="24"/>
        </w:rPr>
        <w:t>.</w:t>
      </w:r>
      <w:r w:rsidR="0089260C" w:rsidRPr="00721752">
        <w:rPr>
          <w:b/>
          <w:sz w:val="24"/>
          <w:szCs w:val="24"/>
        </w:rPr>
        <w:tab/>
        <w:t>ALIGNMENT TO COUNCIL PRIORITIES</w:t>
      </w:r>
    </w:p>
    <w:p w:rsidR="00BE210E" w:rsidRPr="00FA6570" w:rsidRDefault="00BE210E" w:rsidP="0089260C">
      <w:pPr>
        <w:rPr>
          <w:sz w:val="24"/>
          <w:szCs w:val="24"/>
          <w:highlight w:val="yellow"/>
        </w:rPr>
      </w:pPr>
    </w:p>
    <w:p w:rsidR="00855500" w:rsidRPr="00D72DE0" w:rsidRDefault="00721752" w:rsidP="00855500">
      <w:pPr>
        <w:numPr>
          <w:ilvl w:val="1"/>
          <w:numId w:val="10"/>
        </w:numPr>
        <w:rPr>
          <w:sz w:val="24"/>
          <w:szCs w:val="24"/>
        </w:rPr>
      </w:pPr>
      <w:r w:rsidRPr="002C5171">
        <w:rPr>
          <w:sz w:val="24"/>
          <w:szCs w:val="24"/>
        </w:rPr>
        <w:t xml:space="preserve">This report is in line with the Council’s housing priority for ensuring there is an adequate supply of good quality, well managed </w:t>
      </w:r>
      <w:r w:rsidR="00AA4C04">
        <w:rPr>
          <w:sz w:val="24"/>
          <w:szCs w:val="24"/>
        </w:rPr>
        <w:t xml:space="preserve">and safe </w:t>
      </w:r>
      <w:r w:rsidRPr="002C5171">
        <w:rPr>
          <w:sz w:val="24"/>
          <w:szCs w:val="24"/>
        </w:rPr>
        <w:t>housing which is accessible and affordable to those who need it.</w:t>
      </w:r>
    </w:p>
    <w:p w:rsidR="00877B75" w:rsidRPr="00FA6570" w:rsidRDefault="00877B75" w:rsidP="0089260C">
      <w:pPr>
        <w:rPr>
          <w:b/>
          <w:sz w:val="24"/>
          <w:szCs w:val="24"/>
          <w:highlight w:val="yellow"/>
        </w:rPr>
      </w:pPr>
    </w:p>
    <w:p w:rsidR="00BE210E" w:rsidRPr="00721752" w:rsidRDefault="002D60D5" w:rsidP="0089260C">
      <w:pPr>
        <w:rPr>
          <w:b/>
          <w:sz w:val="24"/>
          <w:szCs w:val="24"/>
        </w:rPr>
      </w:pPr>
      <w:r w:rsidRPr="00721752">
        <w:rPr>
          <w:b/>
          <w:sz w:val="24"/>
          <w:szCs w:val="24"/>
        </w:rPr>
        <w:t>7</w:t>
      </w:r>
      <w:r w:rsidR="00B920DF" w:rsidRPr="00721752">
        <w:rPr>
          <w:b/>
          <w:sz w:val="24"/>
          <w:szCs w:val="24"/>
        </w:rPr>
        <w:t>.</w:t>
      </w:r>
      <w:r w:rsidR="00B920DF" w:rsidRPr="00721752">
        <w:rPr>
          <w:b/>
          <w:sz w:val="24"/>
          <w:szCs w:val="24"/>
        </w:rPr>
        <w:tab/>
        <w:t>I</w:t>
      </w:r>
      <w:r w:rsidRPr="00721752">
        <w:rPr>
          <w:b/>
          <w:sz w:val="24"/>
          <w:szCs w:val="24"/>
        </w:rPr>
        <w:t>MPLICATIONS</w:t>
      </w:r>
    </w:p>
    <w:p w:rsidR="002D60D5" w:rsidRPr="00721752" w:rsidRDefault="002D60D5" w:rsidP="0089260C">
      <w:pPr>
        <w:rPr>
          <w:b/>
          <w:sz w:val="24"/>
          <w:szCs w:val="24"/>
        </w:rPr>
      </w:pPr>
    </w:p>
    <w:p w:rsidR="00721752" w:rsidRDefault="002D60D5" w:rsidP="00721752">
      <w:pPr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>(a)</w:t>
      </w:r>
      <w:r w:rsidRPr="00721752">
        <w:rPr>
          <w:sz w:val="24"/>
          <w:szCs w:val="24"/>
        </w:rPr>
        <w:tab/>
      </w:r>
      <w:r w:rsidR="00721752" w:rsidRPr="00721752">
        <w:rPr>
          <w:sz w:val="24"/>
          <w:szCs w:val="24"/>
        </w:rPr>
        <w:t>Relevant Legislation –</w:t>
      </w:r>
      <w:r w:rsidR="00721752">
        <w:rPr>
          <w:sz w:val="24"/>
          <w:szCs w:val="24"/>
        </w:rPr>
        <w:t xml:space="preserve"> </w:t>
      </w:r>
      <w:r w:rsidR="00721752" w:rsidRPr="00E3491C">
        <w:rPr>
          <w:sz w:val="24"/>
          <w:szCs w:val="24"/>
        </w:rPr>
        <w:t xml:space="preserve">All procurement </w:t>
      </w:r>
      <w:r w:rsidR="00721752">
        <w:rPr>
          <w:sz w:val="24"/>
          <w:szCs w:val="24"/>
        </w:rPr>
        <w:t xml:space="preserve">must be </w:t>
      </w:r>
      <w:r w:rsidR="00721752" w:rsidRPr="00E3491C">
        <w:rPr>
          <w:sz w:val="24"/>
          <w:szCs w:val="24"/>
        </w:rPr>
        <w:t>undertaken in compliance with Public Contracts Regulations (2006), where the value exceeds the European threshold, or in accordance with the Council’s procurement rules for those below the threshold.</w:t>
      </w:r>
    </w:p>
    <w:p w:rsidR="00E65314" w:rsidRPr="00721752" w:rsidRDefault="00E65314" w:rsidP="00721752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E65314" w:rsidRPr="00721752" w:rsidRDefault="00E65314" w:rsidP="007A7C6B">
      <w:pPr>
        <w:numPr>
          <w:ilvl w:val="0"/>
          <w:numId w:val="1"/>
        </w:numPr>
        <w:tabs>
          <w:tab w:val="num" w:pos="0"/>
          <w:tab w:val="left" w:pos="720"/>
        </w:tabs>
        <w:ind w:left="0" w:firstLine="0"/>
        <w:rPr>
          <w:sz w:val="24"/>
          <w:szCs w:val="24"/>
        </w:rPr>
      </w:pPr>
      <w:r w:rsidRPr="00721752">
        <w:rPr>
          <w:sz w:val="24"/>
          <w:szCs w:val="24"/>
        </w:rPr>
        <w:t>Human Rights</w:t>
      </w:r>
    </w:p>
    <w:p w:rsidR="007A7C6B" w:rsidRPr="00FA6570" w:rsidRDefault="007A7C6B" w:rsidP="007A7C6B">
      <w:pPr>
        <w:tabs>
          <w:tab w:val="left" w:pos="720"/>
        </w:tabs>
        <w:ind w:left="360"/>
        <w:rPr>
          <w:sz w:val="24"/>
          <w:szCs w:val="24"/>
          <w:highlight w:val="yellow"/>
        </w:rPr>
      </w:pPr>
    </w:p>
    <w:p w:rsidR="00721752" w:rsidRDefault="00721752" w:rsidP="00721752">
      <w:pPr>
        <w:ind w:left="720"/>
        <w:rPr>
          <w:sz w:val="24"/>
          <w:szCs w:val="24"/>
        </w:rPr>
      </w:pPr>
      <w:r>
        <w:rPr>
          <w:sz w:val="24"/>
          <w:szCs w:val="24"/>
        </w:rPr>
        <w:t>It is not considered that the recommendation within this report wi</w:t>
      </w:r>
      <w:r w:rsidR="007B7357">
        <w:rPr>
          <w:sz w:val="24"/>
          <w:szCs w:val="24"/>
        </w:rPr>
        <w:t>ll infringe on human rights.</w:t>
      </w:r>
      <w:r>
        <w:rPr>
          <w:sz w:val="24"/>
          <w:szCs w:val="24"/>
        </w:rPr>
        <w:t xml:space="preserve"> </w:t>
      </w:r>
      <w:r w:rsidR="007B7357">
        <w:rPr>
          <w:sz w:val="24"/>
          <w:szCs w:val="24"/>
        </w:rPr>
        <w:t>This project will positively contribute to a resident home life by helping to improve safety through-out the Council’s sheltered accommodation</w:t>
      </w:r>
      <w:r>
        <w:rPr>
          <w:sz w:val="24"/>
          <w:szCs w:val="24"/>
        </w:rPr>
        <w:t>.</w:t>
      </w:r>
    </w:p>
    <w:p w:rsidR="007A7C6B" w:rsidRPr="00FA6570" w:rsidRDefault="007A7C6B" w:rsidP="007A7C6B">
      <w:pPr>
        <w:tabs>
          <w:tab w:val="left" w:pos="720"/>
        </w:tabs>
        <w:ind w:left="720"/>
        <w:rPr>
          <w:sz w:val="24"/>
          <w:szCs w:val="24"/>
          <w:highlight w:val="yellow"/>
        </w:rPr>
      </w:pPr>
    </w:p>
    <w:p w:rsidR="002D60D5" w:rsidRPr="00721752" w:rsidRDefault="00E65314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>(c</w:t>
      </w:r>
      <w:r w:rsidR="002D60D5" w:rsidRPr="00721752">
        <w:rPr>
          <w:sz w:val="24"/>
          <w:szCs w:val="24"/>
        </w:rPr>
        <w:t>)</w:t>
      </w:r>
      <w:r w:rsidR="002D60D5" w:rsidRPr="00721752">
        <w:rPr>
          <w:sz w:val="24"/>
          <w:szCs w:val="24"/>
        </w:rPr>
        <w:tab/>
        <w:t>Equality and Diversity</w:t>
      </w:r>
    </w:p>
    <w:p w:rsidR="007A7C6B" w:rsidRPr="00FA6570" w:rsidRDefault="007A7C6B" w:rsidP="00830619">
      <w:pPr>
        <w:tabs>
          <w:tab w:val="left" w:pos="720"/>
        </w:tabs>
        <w:ind w:left="720" w:hanging="720"/>
        <w:rPr>
          <w:sz w:val="24"/>
          <w:szCs w:val="24"/>
          <w:highlight w:val="yellow"/>
        </w:rPr>
      </w:pPr>
    </w:p>
    <w:p w:rsidR="007B7357" w:rsidRDefault="00721752" w:rsidP="00D72DE0">
      <w:pPr>
        <w:ind w:left="720"/>
        <w:rPr>
          <w:sz w:val="24"/>
          <w:szCs w:val="24"/>
        </w:rPr>
      </w:pPr>
      <w:r w:rsidRPr="00582C4D">
        <w:rPr>
          <w:sz w:val="24"/>
          <w:szCs w:val="24"/>
        </w:rPr>
        <w:t>In reaching the above conclusion due regard has been taken of the general equality duty contained in the Equality Act 2010.</w:t>
      </w:r>
      <w:r>
        <w:rPr>
          <w:sz w:val="24"/>
          <w:szCs w:val="24"/>
        </w:rPr>
        <w:t xml:space="preserve">  </w:t>
      </w:r>
      <w:r w:rsidR="007B7357">
        <w:rPr>
          <w:sz w:val="24"/>
          <w:szCs w:val="24"/>
        </w:rPr>
        <w:t xml:space="preserve">Any contractor engaged on work for the Council will be required to show commitment to the Council’s equality and diversity standards. </w:t>
      </w:r>
    </w:p>
    <w:p w:rsidR="002D60D5" w:rsidRPr="00FA6570" w:rsidRDefault="002D60D5" w:rsidP="00D72DE0">
      <w:pPr>
        <w:tabs>
          <w:tab w:val="left" w:pos="720"/>
        </w:tabs>
        <w:rPr>
          <w:sz w:val="24"/>
          <w:szCs w:val="24"/>
          <w:highlight w:val="yellow"/>
        </w:rPr>
      </w:pPr>
    </w:p>
    <w:p w:rsidR="002D60D5" w:rsidRPr="00721752" w:rsidRDefault="00E65314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>(d</w:t>
      </w:r>
      <w:r w:rsidR="002D60D5" w:rsidRPr="00721752">
        <w:rPr>
          <w:sz w:val="24"/>
          <w:szCs w:val="24"/>
        </w:rPr>
        <w:t>)</w:t>
      </w:r>
      <w:r w:rsidR="002D60D5" w:rsidRPr="00721752">
        <w:rPr>
          <w:sz w:val="24"/>
          <w:szCs w:val="24"/>
        </w:rPr>
        <w:tab/>
      </w:r>
      <w:r w:rsidR="00460CBF" w:rsidRPr="00721752">
        <w:rPr>
          <w:sz w:val="24"/>
          <w:szCs w:val="24"/>
        </w:rPr>
        <w:t>Climate change and environmental sustainability</w:t>
      </w:r>
    </w:p>
    <w:p w:rsidR="007A7C6B" w:rsidRPr="00721752" w:rsidRDefault="007A7C6B" w:rsidP="00830619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A7C6B" w:rsidRPr="00721752" w:rsidRDefault="007A7C6B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ab/>
      </w:r>
      <w:r w:rsidR="00567DF5" w:rsidRPr="00721752">
        <w:rPr>
          <w:sz w:val="24"/>
          <w:szCs w:val="24"/>
        </w:rPr>
        <w:t>No direct link with climate change</w:t>
      </w:r>
    </w:p>
    <w:p w:rsidR="002D60D5" w:rsidRPr="00721752" w:rsidRDefault="002D60D5" w:rsidP="00830619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D60D5" w:rsidRPr="00721752" w:rsidRDefault="00E65314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>(e</w:t>
      </w:r>
      <w:r w:rsidR="002D60D5" w:rsidRPr="00721752">
        <w:rPr>
          <w:sz w:val="24"/>
          <w:szCs w:val="24"/>
        </w:rPr>
        <w:t>)</w:t>
      </w:r>
      <w:r w:rsidR="002D60D5" w:rsidRPr="00721752">
        <w:rPr>
          <w:sz w:val="24"/>
          <w:szCs w:val="24"/>
        </w:rPr>
        <w:tab/>
        <w:t>Crime and Disorder</w:t>
      </w:r>
    </w:p>
    <w:p w:rsidR="00183F38" w:rsidRPr="00721752" w:rsidRDefault="00183F38" w:rsidP="00830619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183F38" w:rsidRPr="00721752" w:rsidRDefault="00183F38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ab/>
        <w:t xml:space="preserve">The </w:t>
      </w:r>
      <w:r w:rsidRPr="00721752">
        <w:rPr>
          <w:sz w:val="24"/>
        </w:rPr>
        <w:t>submission has no impact on crime and disorder</w:t>
      </w:r>
    </w:p>
    <w:p w:rsidR="002D60D5" w:rsidRPr="00FA6570" w:rsidRDefault="002D60D5" w:rsidP="00830619">
      <w:pPr>
        <w:tabs>
          <w:tab w:val="left" w:pos="720"/>
        </w:tabs>
        <w:ind w:left="720" w:hanging="720"/>
        <w:rPr>
          <w:i/>
          <w:sz w:val="24"/>
          <w:szCs w:val="24"/>
          <w:highlight w:val="yellow"/>
        </w:rPr>
      </w:pPr>
    </w:p>
    <w:p w:rsidR="002D60D5" w:rsidRPr="00FA6570" w:rsidRDefault="00E65314" w:rsidP="00830619">
      <w:pPr>
        <w:tabs>
          <w:tab w:val="left" w:pos="720"/>
        </w:tabs>
        <w:ind w:left="720" w:hanging="720"/>
        <w:rPr>
          <w:sz w:val="24"/>
          <w:szCs w:val="24"/>
          <w:highlight w:val="yellow"/>
        </w:rPr>
      </w:pPr>
      <w:r w:rsidRPr="00721752">
        <w:rPr>
          <w:sz w:val="24"/>
          <w:szCs w:val="24"/>
        </w:rPr>
        <w:t>(f</w:t>
      </w:r>
      <w:r w:rsidR="002D60D5" w:rsidRPr="00721752">
        <w:rPr>
          <w:sz w:val="24"/>
          <w:szCs w:val="24"/>
        </w:rPr>
        <w:t xml:space="preserve">) </w:t>
      </w:r>
      <w:r w:rsidR="002D60D5" w:rsidRPr="00721752">
        <w:rPr>
          <w:sz w:val="24"/>
          <w:szCs w:val="24"/>
        </w:rPr>
        <w:tab/>
        <w:t xml:space="preserve">Budget </w:t>
      </w:r>
      <w:r w:rsidRPr="00721752">
        <w:rPr>
          <w:sz w:val="24"/>
          <w:szCs w:val="24"/>
        </w:rPr>
        <w:t>/</w:t>
      </w:r>
      <w:r w:rsidR="002D60D5" w:rsidRPr="00721752">
        <w:rPr>
          <w:sz w:val="24"/>
          <w:szCs w:val="24"/>
        </w:rPr>
        <w:t xml:space="preserve">Resource  </w:t>
      </w:r>
    </w:p>
    <w:p w:rsidR="00371AE5" w:rsidRPr="00721752" w:rsidRDefault="00371AE5" w:rsidP="00830619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sz w:val="24"/>
          <w:szCs w:val="24"/>
        </w:rPr>
        <w:tab/>
      </w:r>
    </w:p>
    <w:p w:rsidR="00721752" w:rsidRDefault="00371B81" w:rsidP="00721752">
      <w:pPr>
        <w:ind w:left="720"/>
        <w:rPr>
          <w:sz w:val="24"/>
          <w:szCs w:val="24"/>
        </w:rPr>
      </w:pPr>
      <w:r>
        <w:rPr>
          <w:sz w:val="24"/>
          <w:szCs w:val="24"/>
        </w:rPr>
        <w:t>The budget for this work is available in the approved 2021/22 Housing Capital Programme.</w:t>
      </w:r>
    </w:p>
    <w:p w:rsidR="00855500" w:rsidRDefault="00855500" w:rsidP="00721752">
      <w:pPr>
        <w:ind w:left="720"/>
        <w:rPr>
          <w:sz w:val="24"/>
          <w:szCs w:val="24"/>
        </w:rPr>
      </w:pPr>
    </w:p>
    <w:p w:rsidR="00371B81" w:rsidRDefault="00371B81" w:rsidP="00721752">
      <w:pPr>
        <w:ind w:left="720"/>
        <w:rPr>
          <w:sz w:val="24"/>
          <w:szCs w:val="24"/>
        </w:rPr>
      </w:pPr>
    </w:p>
    <w:p w:rsidR="000F67FD" w:rsidRPr="00721752" w:rsidRDefault="002D60D5" w:rsidP="00721752">
      <w:pPr>
        <w:tabs>
          <w:tab w:val="left" w:pos="720"/>
        </w:tabs>
        <w:ind w:left="720" w:hanging="720"/>
        <w:rPr>
          <w:sz w:val="24"/>
          <w:szCs w:val="24"/>
        </w:rPr>
      </w:pPr>
      <w:r w:rsidRPr="00721752">
        <w:rPr>
          <w:b/>
          <w:sz w:val="24"/>
          <w:szCs w:val="24"/>
        </w:rPr>
        <w:t>8</w:t>
      </w:r>
      <w:r w:rsidR="000F67FD" w:rsidRPr="00721752">
        <w:rPr>
          <w:b/>
          <w:sz w:val="24"/>
          <w:szCs w:val="24"/>
        </w:rPr>
        <w:t>.</w:t>
      </w:r>
      <w:r w:rsidR="000F67FD" w:rsidRPr="00721752">
        <w:rPr>
          <w:b/>
          <w:sz w:val="24"/>
          <w:szCs w:val="24"/>
        </w:rPr>
        <w:tab/>
        <w:t>COMMENTS OF STATUTORY OFFICERS</w:t>
      </w:r>
    </w:p>
    <w:p w:rsidR="000F67FD" w:rsidRPr="00FA6570" w:rsidRDefault="000F67FD" w:rsidP="0089260C">
      <w:pPr>
        <w:rPr>
          <w:sz w:val="24"/>
          <w:szCs w:val="24"/>
          <w:highlight w:val="yellow"/>
        </w:rPr>
      </w:pPr>
    </w:p>
    <w:p w:rsidR="00BB6B29" w:rsidRDefault="00BB6B29" w:rsidP="00E0011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1B1635" w:rsidRPr="00124082">
        <w:rPr>
          <w:sz w:val="24"/>
          <w:szCs w:val="24"/>
        </w:rPr>
        <w:t>Monitoring Officer –</w:t>
      </w:r>
      <w:r>
        <w:rPr>
          <w:sz w:val="24"/>
          <w:szCs w:val="24"/>
        </w:rPr>
        <w:t xml:space="preserve"> </w:t>
      </w:r>
      <w:r w:rsidR="005A5C09">
        <w:rPr>
          <w:sz w:val="24"/>
          <w:szCs w:val="24"/>
        </w:rPr>
        <w:t xml:space="preserve">The decision to award the contract has been taken following a procurement exercise with the Council’s appointed procurement unit and complies with the Council’s procurement rules and legislation The contract will be prepared by the Council’s Legal team. </w:t>
      </w:r>
    </w:p>
    <w:p w:rsidR="000F67FD" w:rsidRPr="00124082" w:rsidRDefault="00A21B75" w:rsidP="00124082">
      <w:pPr>
        <w:ind w:left="720" w:hanging="720"/>
        <w:rPr>
          <w:sz w:val="24"/>
          <w:szCs w:val="24"/>
        </w:rPr>
      </w:pPr>
      <w:r w:rsidRPr="00124082">
        <w:rPr>
          <w:sz w:val="24"/>
          <w:szCs w:val="24"/>
        </w:rPr>
        <w:t xml:space="preserve"> </w:t>
      </w:r>
    </w:p>
    <w:p w:rsidR="00FE4988" w:rsidRDefault="000F67FD" w:rsidP="00877B75">
      <w:pPr>
        <w:ind w:left="720" w:hanging="720"/>
        <w:rPr>
          <w:sz w:val="24"/>
          <w:szCs w:val="24"/>
        </w:rPr>
      </w:pPr>
      <w:r w:rsidRPr="00124082">
        <w:rPr>
          <w:sz w:val="24"/>
          <w:szCs w:val="24"/>
        </w:rPr>
        <w:t>(c)</w:t>
      </w:r>
      <w:r w:rsidR="002D60D5" w:rsidRPr="00124082">
        <w:rPr>
          <w:sz w:val="24"/>
          <w:szCs w:val="24"/>
        </w:rPr>
        <w:tab/>
        <w:t>Section 151 Officer</w:t>
      </w:r>
      <w:r w:rsidR="001B1635" w:rsidRPr="00124082">
        <w:rPr>
          <w:sz w:val="24"/>
          <w:szCs w:val="24"/>
        </w:rPr>
        <w:t xml:space="preserve"> </w:t>
      </w:r>
      <w:r w:rsidR="001E0257" w:rsidRPr="00124082">
        <w:rPr>
          <w:sz w:val="24"/>
          <w:szCs w:val="24"/>
        </w:rPr>
        <w:t>–</w:t>
      </w:r>
      <w:r w:rsidR="00BB6B29">
        <w:rPr>
          <w:sz w:val="24"/>
          <w:szCs w:val="24"/>
        </w:rPr>
        <w:t xml:space="preserve"> </w:t>
      </w:r>
      <w:r w:rsidR="00DC78EB">
        <w:rPr>
          <w:sz w:val="24"/>
          <w:szCs w:val="24"/>
        </w:rPr>
        <w:t>no specific comments.</w:t>
      </w:r>
    </w:p>
    <w:p w:rsidR="00855500" w:rsidRPr="00124082" w:rsidRDefault="00855500" w:rsidP="00877B75">
      <w:pPr>
        <w:ind w:left="720" w:hanging="720"/>
        <w:rPr>
          <w:sz w:val="24"/>
          <w:szCs w:val="24"/>
        </w:rPr>
      </w:pPr>
    </w:p>
    <w:p w:rsidR="000F67FD" w:rsidRDefault="000F67FD" w:rsidP="00023547">
      <w:pPr>
        <w:ind w:left="720" w:hanging="720"/>
        <w:rPr>
          <w:sz w:val="24"/>
          <w:szCs w:val="24"/>
        </w:rPr>
      </w:pPr>
    </w:p>
    <w:p w:rsidR="00251A0C" w:rsidRPr="00124082" w:rsidRDefault="00251A0C" w:rsidP="00023547">
      <w:pPr>
        <w:ind w:left="720" w:hanging="720"/>
        <w:rPr>
          <w:sz w:val="24"/>
          <w:szCs w:val="24"/>
        </w:rPr>
      </w:pPr>
    </w:p>
    <w:p w:rsidR="00BE210E" w:rsidRPr="00124082" w:rsidRDefault="002D60D5" w:rsidP="0089260C">
      <w:pPr>
        <w:rPr>
          <w:b/>
          <w:sz w:val="24"/>
          <w:szCs w:val="24"/>
        </w:rPr>
      </w:pPr>
      <w:r w:rsidRPr="00124082">
        <w:rPr>
          <w:b/>
          <w:sz w:val="24"/>
          <w:szCs w:val="24"/>
        </w:rPr>
        <w:t>9</w:t>
      </w:r>
      <w:r w:rsidR="00B920DF" w:rsidRPr="00124082">
        <w:rPr>
          <w:b/>
          <w:sz w:val="24"/>
          <w:szCs w:val="24"/>
        </w:rPr>
        <w:t>.</w:t>
      </w:r>
      <w:r w:rsidR="00B920DF" w:rsidRPr="00124082">
        <w:rPr>
          <w:b/>
          <w:sz w:val="24"/>
          <w:szCs w:val="24"/>
        </w:rPr>
        <w:tab/>
        <w:t>CO</w:t>
      </w:r>
      <w:r w:rsidR="00BE210E" w:rsidRPr="00124082">
        <w:rPr>
          <w:b/>
          <w:sz w:val="24"/>
          <w:szCs w:val="24"/>
        </w:rPr>
        <w:t>NSULTATION</w:t>
      </w:r>
    </w:p>
    <w:p w:rsidR="00BE210E" w:rsidRPr="00124082" w:rsidRDefault="00BE210E" w:rsidP="0089260C">
      <w:pPr>
        <w:rPr>
          <w:sz w:val="24"/>
          <w:szCs w:val="24"/>
        </w:rPr>
      </w:pPr>
    </w:p>
    <w:p w:rsidR="0089260C" w:rsidRPr="00604B9F" w:rsidRDefault="00CF0B8F" w:rsidP="0089260C">
      <w:pPr>
        <w:rPr>
          <w:sz w:val="24"/>
          <w:szCs w:val="24"/>
        </w:rPr>
      </w:pPr>
      <w:r w:rsidRPr="00124082">
        <w:rPr>
          <w:sz w:val="24"/>
          <w:szCs w:val="24"/>
        </w:rPr>
        <w:t>None</w:t>
      </w:r>
      <w:r w:rsidR="00371AE5" w:rsidRPr="00124082">
        <w:rPr>
          <w:sz w:val="24"/>
          <w:szCs w:val="24"/>
        </w:rPr>
        <w:t>.</w:t>
      </w:r>
      <w:r w:rsidR="007A7C6B" w:rsidRPr="00604B9F">
        <w:rPr>
          <w:sz w:val="24"/>
          <w:szCs w:val="24"/>
        </w:rPr>
        <w:t xml:space="preserve"> </w:t>
      </w:r>
    </w:p>
    <w:p w:rsidR="00855500" w:rsidRDefault="00855500" w:rsidP="0089260C">
      <w:pPr>
        <w:rPr>
          <w:b/>
          <w:sz w:val="24"/>
          <w:szCs w:val="24"/>
        </w:rPr>
      </w:pPr>
    </w:p>
    <w:p w:rsidR="00855500" w:rsidRPr="00604B9F" w:rsidRDefault="00855500" w:rsidP="0089260C">
      <w:pPr>
        <w:rPr>
          <w:b/>
          <w:sz w:val="24"/>
          <w:szCs w:val="24"/>
        </w:rPr>
      </w:pPr>
    </w:p>
    <w:p w:rsidR="00BE210E" w:rsidRPr="00604B9F" w:rsidRDefault="002D60D5" w:rsidP="0089260C">
      <w:pPr>
        <w:rPr>
          <w:b/>
          <w:sz w:val="24"/>
          <w:szCs w:val="24"/>
        </w:rPr>
      </w:pPr>
      <w:r w:rsidRPr="00604B9F">
        <w:rPr>
          <w:b/>
          <w:sz w:val="24"/>
          <w:szCs w:val="24"/>
        </w:rPr>
        <w:t>10</w:t>
      </w:r>
      <w:r w:rsidR="00B920DF" w:rsidRPr="00604B9F">
        <w:rPr>
          <w:b/>
          <w:sz w:val="24"/>
          <w:szCs w:val="24"/>
        </w:rPr>
        <w:t>.</w:t>
      </w:r>
      <w:r w:rsidR="00B920DF" w:rsidRPr="00604B9F">
        <w:rPr>
          <w:b/>
          <w:sz w:val="24"/>
          <w:szCs w:val="24"/>
        </w:rPr>
        <w:tab/>
        <w:t>BA</w:t>
      </w:r>
      <w:r w:rsidR="00BE210E" w:rsidRPr="00604B9F">
        <w:rPr>
          <w:b/>
          <w:sz w:val="24"/>
          <w:szCs w:val="24"/>
        </w:rPr>
        <w:t>CKGROUND PAPERS</w:t>
      </w:r>
    </w:p>
    <w:p w:rsidR="00BE210E" w:rsidRPr="00604B9F" w:rsidRDefault="00BE210E" w:rsidP="0089260C">
      <w:pPr>
        <w:rPr>
          <w:sz w:val="24"/>
          <w:szCs w:val="24"/>
        </w:rPr>
      </w:pPr>
    </w:p>
    <w:p w:rsidR="007A7C6B" w:rsidRPr="00604B9F" w:rsidRDefault="00BB6B29" w:rsidP="007A7C6B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3E50A6" w:rsidRPr="00604B9F" w:rsidRDefault="003E50A6" w:rsidP="0089260C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8"/>
        <w:gridCol w:w="296"/>
        <w:gridCol w:w="6910"/>
      </w:tblGrid>
      <w:tr w:rsidR="008633DD" w:rsidRPr="00604B9F">
        <w:tc>
          <w:tcPr>
            <w:tcW w:w="1788" w:type="dxa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Report Author</w:t>
            </w:r>
          </w:p>
        </w:tc>
        <w:tc>
          <w:tcPr>
            <w:tcW w:w="296" w:type="dxa"/>
            <w:shd w:val="clear" w:color="auto" w:fill="auto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910" w:type="dxa"/>
            <w:shd w:val="clear" w:color="auto" w:fill="auto"/>
          </w:tcPr>
          <w:p w:rsidR="008633DD" w:rsidRPr="00604B9F" w:rsidRDefault="00FA110F" w:rsidP="00567D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Gregorczyk</w:t>
            </w:r>
          </w:p>
        </w:tc>
      </w:tr>
      <w:tr w:rsidR="008633DD" w:rsidRPr="00604B9F">
        <w:tc>
          <w:tcPr>
            <w:tcW w:w="1788" w:type="dxa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Designation</w:t>
            </w:r>
          </w:p>
        </w:tc>
        <w:tc>
          <w:tcPr>
            <w:tcW w:w="296" w:type="dxa"/>
            <w:shd w:val="clear" w:color="auto" w:fill="auto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910" w:type="dxa"/>
            <w:shd w:val="clear" w:color="auto" w:fill="auto"/>
          </w:tcPr>
          <w:p w:rsidR="008633DD" w:rsidRPr="00604B9F" w:rsidRDefault="00872D2A" w:rsidP="00567DF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Asset Man</w:t>
            </w:r>
            <w:r w:rsidR="00FA6570">
              <w:rPr>
                <w:rFonts w:cs="Arial"/>
                <w:sz w:val="24"/>
                <w:szCs w:val="24"/>
              </w:rPr>
              <w:t>ager</w:t>
            </w:r>
            <w:r w:rsidR="00FA110F">
              <w:rPr>
                <w:rFonts w:cs="Arial"/>
                <w:sz w:val="24"/>
                <w:szCs w:val="24"/>
              </w:rPr>
              <w:t xml:space="preserve"> (Interim)</w:t>
            </w:r>
          </w:p>
        </w:tc>
      </w:tr>
      <w:tr w:rsidR="008633DD" w:rsidRPr="00604B9F">
        <w:tc>
          <w:tcPr>
            <w:tcW w:w="1788" w:type="dxa"/>
          </w:tcPr>
          <w:p w:rsidR="008633DD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Telephone</w:t>
            </w:r>
          </w:p>
          <w:p w:rsidR="00FA110F" w:rsidRPr="00604B9F" w:rsidRDefault="00FA110F" w:rsidP="008926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Mobile</w:t>
            </w:r>
          </w:p>
        </w:tc>
        <w:tc>
          <w:tcPr>
            <w:tcW w:w="296" w:type="dxa"/>
            <w:shd w:val="clear" w:color="auto" w:fill="auto"/>
          </w:tcPr>
          <w:p w:rsidR="008633DD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-</w:t>
            </w:r>
          </w:p>
          <w:p w:rsidR="00FA110F" w:rsidRPr="00604B9F" w:rsidRDefault="00FA110F" w:rsidP="008926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910" w:type="dxa"/>
            <w:shd w:val="clear" w:color="auto" w:fill="auto"/>
          </w:tcPr>
          <w:p w:rsidR="008633DD" w:rsidRDefault="00086F3D" w:rsidP="00FA6570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(01623) 463</w:t>
            </w:r>
            <w:r w:rsidR="00FA110F">
              <w:rPr>
                <w:rFonts w:cs="Arial"/>
                <w:sz w:val="24"/>
                <w:szCs w:val="24"/>
              </w:rPr>
              <w:t xml:space="preserve">886 </w:t>
            </w:r>
          </w:p>
          <w:p w:rsidR="00FA110F" w:rsidRPr="00604B9F" w:rsidRDefault="00FA110F" w:rsidP="00FA6570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Calibri" w:cs="Arial"/>
                <w:noProof/>
                <w:sz w:val="24"/>
                <w:szCs w:val="24"/>
              </w:rPr>
              <w:t>07950887936</w:t>
            </w:r>
          </w:p>
        </w:tc>
      </w:tr>
      <w:tr w:rsidR="008633DD" w:rsidRPr="00531CC4">
        <w:tc>
          <w:tcPr>
            <w:tcW w:w="1788" w:type="dxa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296" w:type="dxa"/>
            <w:shd w:val="clear" w:color="auto" w:fill="auto"/>
          </w:tcPr>
          <w:p w:rsidR="008633DD" w:rsidRPr="00604B9F" w:rsidRDefault="008633DD" w:rsidP="0089260C">
            <w:pPr>
              <w:rPr>
                <w:rFonts w:cs="Arial"/>
                <w:sz w:val="24"/>
                <w:szCs w:val="24"/>
              </w:rPr>
            </w:pPr>
            <w:r w:rsidRPr="00604B9F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910" w:type="dxa"/>
            <w:shd w:val="clear" w:color="auto" w:fill="auto"/>
          </w:tcPr>
          <w:p w:rsidR="00086F3D" w:rsidRPr="00531CC4" w:rsidRDefault="007130A1" w:rsidP="00FA110F">
            <w:pPr>
              <w:rPr>
                <w:rFonts w:cs="Arial"/>
                <w:sz w:val="24"/>
                <w:szCs w:val="24"/>
              </w:rPr>
            </w:pPr>
            <w:hyperlink r:id="rId8" w:history="1">
              <w:r w:rsidR="00FA110F" w:rsidRPr="001F62AC">
                <w:rPr>
                  <w:rStyle w:val="Hyperlink"/>
                  <w:rFonts w:cs="Arial"/>
                  <w:sz w:val="24"/>
                  <w:szCs w:val="24"/>
                </w:rPr>
                <w:t>mgregorczyk@mansfield.gov.uk</w:t>
              </w:r>
            </w:hyperlink>
          </w:p>
        </w:tc>
      </w:tr>
    </w:tbl>
    <w:p w:rsidR="008633DD" w:rsidRDefault="008633DD" w:rsidP="00CF0B8F"/>
    <w:p w:rsidR="00855500" w:rsidRDefault="00855500" w:rsidP="00CF0B8F"/>
    <w:p w:rsidR="00855500" w:rsidRDefault="00855500" w:rsidP="00CF0B8F"/>
    <w:p w:rsidR="00855500" w:rsidRDefault="00855500" w:rsidP="00CF0B8F"/>
    <w:sectPr w:rsidR="00855500" w:rsidSect="00903305">
      <w:pgSz w:w="11906" w:h="16838" w:code="9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62" w:rsidRDefault="00CD1062">
      <w:r>
        <w:separator/>
      </w:r>
    </w:p>
  </w:endnote>
  <w:endnote w:type="continuationSeparator" w:id="0">
    <w:p w:rsidR="00CD1062" w:rsidRDefault="00C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62" w:rsidRDefault="00CD1062">
      <w:r>
        <w:separator/>
      </w:r>
    </w:p>
  </w:footnote>
  <w:footnote w:type="continuationSeparator" w:id="0">
    <w:p w:rsidR="00CD1062" w:rsidRDefault="00CD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B9"/>
    <w:multiLevelType w:val="hybridMultilevel"/>
    <w:tmpl w:val="B860B1DC"/>
    <w:lvl w:ilvl="0" w:tplc="E18650A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723BE"/>
    <w:multiLevelType w:val="multilevel"/>
    <w:tmpl w:val="F18662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5F0C35"/>
    <w:multiLevelType w:val="multilevel"/>
    <w:tmpl w:val="D04C97FE"/>
    <w:styleLink w:val="LxListStyle"/>
    <w:lvl w:ilvl="0">
      <w:start w:val="1"/>
      <w:numFmt w:val="decimal"/>
      <w:pStyle w:val="L0"/>
      <w:suff w:val="space"/>
      <w:lvlText w:val="Part %1:"/>
      <w:lvlJc w:val="left"/>
      <w:pPr>
        <w:ind w:left="0" w:firstLine="0"/>
      </w:pPr>
      <w:rPr>
        <w:b/>
        <w:i w:val="0"/>
        <w:color w:val="000000"/>
        <w:sz w:val="32"/>
      </w:rPr>
    </w:lvl>
    <w:lvl w:ilvl="1">
      <w:start w:val="1"/>
      <w:numFmt w:val="decimal"/>
      <w:lvlRestart w:val="0"/>
      <w:pStyle w:val="L1"/>
      <w:lvlText w:val="%2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2">
      <w:start w:val="1"/>
      <w:numFmt w:val="decimal"/>
      <w:pStyle w:val="L2"/>
      <w:lvlText w:val="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L3"/>
      <w:lvlText w:val="%2.%3.%4"/>
      <w:lvlJc w:val="left"/>
      <w:pPr>
        <w:tabs>
          <w:tab w:val="num" w:pos="1418"/>
        </w:tabs>
        <w:ind w:left="1418" w:hanging="738"/>
      </w:pPr>
    </w:lvl>
    <w:lvl w:ilvl="4">
      <w:start w:val="1"/>
      <w:numFmt w:val="lowerRoman"/>
      <w:lvlRestart w:val="3"/>
      <w:pStyle w:val="L4"/>
      <w:lvlText w:val="%5)"/>
      <w:lvlJc w:val="left"/>
      <w:pPr>
        <w:tabs>
          <w:tab w:val="num" w:pos="1134"/>
        </w:tabs>
        <w:ind w:left="1134" w:hanging="454"/>
      </w:pPr>
    </w:lvl>
    <w:lvl w:ilvl="5">
      <w:start w:val="1"/>
      <w:numFmt w:val="lowerRoman"/>
      <w:lvlRestart w:val="4"/>
      <w:pStyle w:val="L5"/>
      <w:lvlText w:val="%6)"/>
      <w:lvlJc w:val="left"/>
      <w:pPr>
        <w:tabs>
          <w:tab w:val="num" w:pos="1985"/>
        </w:tabs>
        <w:ind w:left="1985" w:hanging="567"/>
      </w:pPr>
    </w:lvl>
    <w:lvl w:ilvl="6">
      <w:start w:val="1"/>
      <w:numFmt w:val="lowerRoman"/>
      <w:lvlRestart w:val="0"/>
      <w:pStyle w:val="Li1Italic"/>
      <w:lvlText w:val="%7)"/>
      <w:lvlJc w:val="left"/>
      <w:pPr>
        <w:tabs>
          <w:tab w:val="num" w:pos="680"/>
        </w:tabs>
        <w:ind w:left="680" w:hanging="680"/>
      </w:pPr>
    </w:lvl>
    <w:lvl w:ilvl="7">
      <w:start w:val="1"/>
      <w:numFmt w:val="lowerRoman"/>
      <w:pStyle w:val="Li2Italic"/>
      <w:lvlText w:val="%7.%8)"/>
      <w:lvlJc w:val="left"/>
      <w:pPr>
        <w:tabs>
          <w:tab w:val="num" w:pos="720"/>
        </w:tabs>
        <w:ind w:left="680" w:hanging="680"/>
      </w:pPr>
    </w:lvl>
    <w:lvl w:ilvl="8">
      <w:start w:val="1"/>
      <w:numFmt w:val="lowerRoman"/>
      <w:pStyle w:val="Li3Italic"/>
      <w:lvlText w:val="%7.%8.%9)"/>
      <w:lvlJc w:val="left"/>
      <w:pPr>
        <w:tabs>
          <w:tab w:val="num" w:pos="1418"/>
        </w:tabs>
        <w:ind w:left="1417" w:hanging="737"/>
      </w:pPr>
    </w:lvl>
  </w:abstractNum>
  <w:abstractNum w:abstractNumId="3" w15:restartNumberingAfterBreak="0">
    <w:nsid w:val="29736DB7"/>
    <w:multiLevelType w:val="multilevel"/>
    <w:tmpl w:val="C57472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9D61E80"/>
    <w:multiLevelType w:val="hybridMultilevel"/>
    <w:tmpl w:val="5BA67E7C"/>
    <w:lvl w:ilvl="0" w:tplc="D28CDE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801FE"/>
    <w:multiLevelType w:val="multilevel"/>
    <w:tmpl w:val="4DCE6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FA759A1"/>
    <w:multiLevelType w:val="multilevel"/>
    <w:tmpl w:val="EE70C5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B9D3BB7"/>
    <w:multiLevelType w:val="multilevel"/>
    <w:tmpl w:val="2698FDB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C2733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0C6956"/>
    <w:multiLevelType w:val="multilevel"/>
    <w:tmpl w:val="D1C87E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D48581B"/>
    <w:multiLevelType w:val="hybridMultilevel"/>
    <w:tmpl w:val="03ECE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EBB"/>
    <w:multiLevelType w:val="hybridMultilevel"/>
    <w:tmpl w:val="8DE05254"/>
    <w:lvl w:ilvl="0" w:tplc="51A6C49E">
      <w:start w:val="2"/>
      <w:numFmt w:val="lowerLetter"/>
      <w:lvlText w:val="(%1)"/>
      <w:lvlJc w:val="left"/>
      <w:pPr>
        <w:tabs>
          <w:tab w:val="num" w:pos="3018"/>
        </w:tabs>
        <w:ind w:left="3018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 w15:restartNumberingAfterBreak="0">
    <w:nsid w:val="71FF140D"/>
    <w:multiLevelType w:val="multilevel"/>
    <w:tmpl w:val="C51EA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72766D37"/>
    <w:multiLevelType w:val="multilevel"/>
    <w:tmpl w:val="4CF26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556345"/>
    <w:multiLevelType w:val="hybridMultilevel"/>
    <w:tmpl w:val="26C6C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97CD3"/>
    <w:multiLevelType w:val="multilevel"/>
    <w:tmpl w:val="FA403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7BE9657C"/>
    <w:multiLevelType w:val="multilevel"/>
    <w:tmpl w:val="EE70C5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E8"/>
    <w:rsid w:val="00007CDB"/>
    <w:rsid w:val="0002291A"/>
    <w:rsid w:val="00023547"/>
    <w:rsid w:val="00027D34"/>
    <w:rsid w:val="000767BA"/>
    <w:rsid w:val="00086F3D"/>
    <w:rsid w:val="000A1A38"/>
    <w:rsid w:val="000B25BF"/>
    <w:rsid w:val="000B7DBC"/>
    <w:rsid w:val="000C64DA"/>
    <w:rsid w:val="000D0375"/>
    <w:rsid w:val="000D5957"/>
    <w:rsid w:val="000D7D53"/>
    <w:rsid w:val="000E3E3F"/>
    <w:rsid w:val="000F1E04"/>
    <w:rsid w:val="000F5484"/>
    <w:rsid w:val="000F67FD"/>
    <w:rsid w:val="00104F1F"/>
    <w:rsid w:val="00124082"/>
    <w:rsid w:val="0012794C"/>
    <w:rsid w:val="00134A8B"/>
    <w:rsid w:val="00136CF0"/>
    <w:rsid w:val="001610C2"/>
    <w:rsid w:val="00172BC4"/>
    <w:rsid w:val="00183F38"/>
    <w:rsid w:val="001963F1"/>
    <w:rsid w:val="001A31D4"/>
    <w:rsid w:val="001B1635"/>
    <w:rsid w:val="001B4FC6"/>
    <w:rsid w:val="001C3173"/>
    <w:rsid w:val="001D6116"/>
    <w:rsid w:val="001E0257"/>
    <w:rsid w:val="001E1165"/>
    <w:rsid w:val="00216A10"/>
    <w:rsid w:val="00243CEA"/>
    <w:rsid w:val="00251A0C"/>
    <w:rsid w:val="00277069"/>
    <w:rsid w:val="00284211"/>
    <w:rsid w:val="0029221C"/>
    <w:rsid w:val="002A11E8"/>
    <w:rsid w:val="002C55CA"/>
    <w:rsid w:val="002C7B7D"/>
    <w:rsid w:val="002D60D5"/>
    <w:rsid w:val="002E4564"/>
    <w:rsid w:val="002E585A"/>
    <w:rsid w:val="00304FCF"/>
    <w:rsid w:val="003066F1"/>
    <w:rsid w:val="003068C9"/>
    <w:rsid w:val="00312DFE"/>
    <w:rsid w:val="00324423"/>
    <w:rsid w:val="00334D85"/>
    <w:rsid w:val="0035253C"/>
    <w:rsid w:val="00371AE5"/>
    <w:rsid w:val="00371B81"/>
    <w:rsid w:val="00390CF2"/>
    <w:rsid w:val="003A4D72"/>
    <w:rsid w:val="003B46E6"/>
    <w:rsid w:val="003C4C33"/>
    <w:rsid w:val="003E50A6"/>
    <w:rsid w:val="003F1A62"/>
    <w:rsid w:val="004160F0"/>
    <w:rsid w:val="00417F55"/>
    <w:rsid w:val="004245C1"/>
    <w:rsid w:val="00425813"/>
    <w:rsid w:val="00440055"/>
    <w:rsid w:val="00441C51"/>
    <w:rsid w:val="00460CBF"/>
    <w:rsid w:val="00474182"/>
    <w:rsid w:val="00484107"/>
    <w:rsid w:val="004A717C"/>
    <w:rsid w:val="004B381C"/>
    <w:rsid w:val="004C1884"/>
    <w:rsid w:val="004C756A"/>
    <w:rsid w:val="00520CB8"/>
    <w:rsid w:val="00531CC4"/>
    <w:rsid w:val="00535EB4"/>
    <w:rsid w:val="00542B72"/>
    <w:rsid w:val="005618C9"/>
    <w:rsid w:val="00567DF5"/>
    <w:rsid w:val="005922CF"/>
    <w:rsid w:val="00596EA4"/>
    <w:rsid w:val="005A590A"/>
    <w:rsid w:val="005A5C09"/>
    <w:rsid w:val="005A6CAF"/>
    <w:rsid w:val="005D030A"/>
    <w:rsid w:val="005E1BCF"/>
    <w:rsid w:val="00604B9F"/>
    <w:rsid w:val="006137E6"/>
    <w:rsid w:val="0061461B"/>
    <w:rsid w:val="00621F54"/>
    <w:rsid w:val="00625BE7"/>
    <w:rsid w:val="006344B0"/>
    <w:rsid w:val="006346BD"/>
    <w:rsid w:val="00654CB4"/>
    <w:rsid w:val="00665307"/>
    <w:rsid w:val="006740E6"/>
    <w:rsid w:val="006A633F"/>
    <w:rsid w:val="006B0022"/>
    <w:rsid w:val="006C6A1F"/>
    <w:rsid w:val="006C6F12"/>
    <w:rsid w:val="006C7AFD"/>
    <w:rsid w:val="006D5963"/>
    <w:rsid w:val="006E4216"/>
    <w:rsid w:val="006E50F4"/>
    <w:rsid w:val="006E5587"/>
    <w:rsid w:val="006E5CCA"/>
    <w:rsid w:val="006F7ABC"/>
    <w:rsid w:val="007014C4"/>
    <w:rsid w:val="007130A1"/>
    <w:rsid w:val="007214EF"/>
    <w:rsid w:val="00721752"/>
    <w:rsid w:val="00721C4C"/>
    <w:rsid w:val="0073290F"/>
    <w:rsid w:val="00735602"/>
    <w:rsid w:val="007537D0"/>
    <w:rsid w:val="0075708F"/>
    <w:rsid w:val="00766470"/>
    <w:rsid w:val="00766BE6"/>
    <w:rsid w:val="00786A49"/>
    <w:rsid w:val="007901A7"/>
    <w:rsid w:val="00790ABA"/>
    <w:rsid w:val="00792E79"/>
    <w:rsid w:val="007A241A"/>
    <w:rsid w:val="007A7C6B"/>
    <w:rsid w:val="007B7357"/>
    <w:rsid w:val="007C72A1"/>
    <w:rsid w:val="007D5552"/>
    <w:rsid w:val="007F2124"/>
    <w:rsid w:val="0080479E"/>
    <w:rsid w:val="00821635"/>
    <w:rsid w:val="00827643"/>
    <w:rsid w:val="00830619"/>
    <w:rsid w:val="00840C65"/>
    <w:rsid w:val="008518DD"/>
    <w:rsid w:val="00853FE7"/>
    <w:rsid w:val="00855500"/>
    <w:rsid w:val="008633DD"/>
    <w:rsid w:val="0086467B"/>
    <w:rsid w:val="00872D2A"/>
    <w:rsid w:val="00877B75"/>
    <w:rsid w:val="0089230C"/>
    <w:rsid w:val="0089260C"/>
    <w:rsid w:val="008A3578"/>
    <w:rsid w:val="008A4037"/>
    <w:rsid w:val="008C0E5B"/>
    <w:rsid w:val="008D056A"/>
    <w:rsid w:val="008D2760"/>
    <w:rsid w:val="008D7FDF"/>
    <w:rsid w:val="00903305"/>
    <w:rsid w:val="00912345"/>
    <w:rsid w:val="00916611"/>
    <w:rsid w:val="00916923"/>
    <w:rsid w:val="00916C2E"/>
    <w:rsid w:val="00925287"/>
    <w:rsid w:val="00930C66"/>
    <w:rsid w:val="00953D61"/>
    <w:rsid w:val="0098759E"/>
    <w:rsid w:val="00997136"/>
    <w:rsid w:val="009A02FF"/>
    <w:rsid w:val="009A678F"/>
    <w:rsid w:val="009B2A5C"/>
    <w:rsid w:val="009D1817"/>
    <w:rsid w:val="009F05A2"/>
    <w:rsid w:val="00A21B75"/>
    <w:rsid w:val="00A232FA"/>
    <w:rsid w:val="00A2373A"/>
    <w:rsid w:val="00A563E4"/>
    <w:rsid w:val="00A60F62"/>
    <w:rsid w:val="00A64156"/>
    <w:rsid w:val="00A746B5"/>
    <w:rsid w:val="00A75D5E"/>
    <w:rsid w:val="00A77036"/>
    <w:rsid w:val="00A90687"/>
    <w:rsid w:val="00AA0400"/>
    <w:rsid w:val="00AA3E5F"/>
    <w:rsid w:val="00AA4C04"/>
    <w:rsid w:val="00AA7D62"/>
    <w:rsid w:val="00AB42B8"/>
    <w:rsid w:val="00AB5B88"/>
    <w:rsid w:val="00AB7C45"/>
    <w:rsid w:val="00AC3E48"/>
    <w:rsid w:val="00AC61D9"/>
    <w:rsid w:val="00AC637A"/>
    <w:rsid w:val="00AC7BF5"/>
    <w:rsid w:val="00B010A4"/>
    <w:rsid w:val="00B0502A"/>
    <w:rsid w:val="00B1387F"/>
    <w:rsid w:val="00B32C13"/>
    <w:rsid w:val="00B4449D"/>
    <w:rsid w:val="00B44990"/>
    <w:rsid w:val="00B52CC9"/>
    <w:rsid w:val="00B71410"/>
    <w:rsid w:val="00B76F23"/>
    <w:rsid w:val="00B907AF"/>
    <w:rsid w:val="00B9152B"/>
    <w:rsid w:val="00B920DF"/>
    <w:rsid w:val="00BB6B29"/>
    <w:rsid w:val="00BC4812"/>
    <w:rsid w:val="00BD34F1"/>
    <w:rsid w:val="00BD4564"/>
    <w:rsid w:val="00BD7D4B"/>
    <w:rsid w:val="00BE210E"/>
    <w:rsid w:val="00BF25F8"/>
    <w:rsid w:val="00C053C6"/>
    <w:rsid w:val="00C07196"/>
    <w:rsid w:val="00C242F7"/>
    <w:rsid w:val="00C27065"/>
    <w:rsid w:val="00C42255"/>
    <w:rsid w:val="00C44E0E"/>
    <w:rsid w:val="00C561E0"/>
    <w:rsid w:val="00C65735"/>
    <w:rsid w:val="00C65AA0"/>
    <w:rsid w:val="00C92EA3"/>
    <w:rsid w:val="00C95E49"/>
    <w:rsid w:val="00CA2446"/>
    <w:rsid w:val="00CA7A6F"/>
    <w:rsid w:val="00CD1062"/>
    <w:rsid w:val="00CD23B7"/>
    <w:rsid w:val="00CE4E91"/>
    <w:rsid w:val="00CE5427"/>
    <w:rsid w:val="00CF0B8F"/>
    <w:rsid w:val="00CF368E"/>
    <w:rsid w:val="00D4128B"/>
    <w:rsid w:val="00D508E5"/>
    <w:rsid w:val="00D62788"/>
    <w:rsid w:val="00D64C2A"/>
    <w:rsid w:val="00D72DE0"/>
    <w:rsid w:val="00D76F55"/>
    <w:rsid w:val="00D814FB"/>
    <w:rsid w:val="00D82723"/>
    <w:rsid w:val="00D932C6"/>
    <w:rsid w:val="00D96652"/>
    <w:rsid w:val="00DC0E55"/>
    <w:rsid w:val="00DC78EB"/>
    <w:rsid w:val="00DD4151"/>
    <w:rsid w:val="00E00110"/>
    <w:rsid w:val="00E12F88"/>
    <w:rsid w:val="00E301DF"/>
    <w:rsid w:val="00E30F0B"/>
    <w:rsid w:val="00E3392F"/>
    <w:rsid w:val="00E65314"/>
    <w:rsid w:val="00E74639"/>
    <w:rsid w:val="00EA15C2"/>
    <w:rsid w:val="00EA4AF2"/>
    <w:rsid w:val="00EA532A"/>
    <w:rsid w:val="00EB4B76"/>
    <w:rsid w:val="00ED3F1B"/>
    <w:rsid w:val="00EE0BB8"/>
    <w:rsid w:val="00EE2B52"/>
    <w:rsid w:val="00EE558B"/>
    <w:rsid w:val="00F25D1D"/>
    <w:rsid w:val="00F32335"/>
    <w:rsid w:val="00F360AE"/>
    <w:rsid w:val="00F60FA2"/>
    <w:rsid w:val="00F62110"/>
    <w:rsid w:val="00F86DE8"/>
    <w:rsid w:val="00F94B87"/>
    <w:rsid w:val="00FA110F"/>
    <w:rsid w:val="00FA6570"/>
    <w:rsid w:val="00FD7A3C"/>
    <w:rsid w:val="00FE4988"/>
    <w:rsid w:val="00FF4067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59AD9"/>
  <w15:docId w15:val="{AF96D94D-F5D9-483A-8E1C-A8F95ED0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0C"/>
    <w:pPr>
      <w:jc w:val="both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79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794C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BE210E"/>
    <w:rPr>
      <w:rFonts w:ascii="Times New Roman" w:hAnsi="Times New Roman"/>
      <w:noProof/>
      <w:szCs w:val="20"/>
    </w:rPr>
  </w:style>
  <w:style w:type="paragraph" w:customStyle="1" w:styleId="SectionHeading">
    <w:name w:val="Section Heading"/>
    <w:basedOn w:val="Normal"/>
    <w:rsid w:val="00BE210E"/>
    <w:pPr>
      <w:ind w:left="720"/>
    </w:pPr>
    <w:rPr>
      <w:noProof/>
      <w:szCs w:val="20"/>
    </w:rPr>
  </w:style>
  <w:style w:type="paragraph" w:customStyle="1" w:styleId="DEFAULTTEXT0">
    <w:name w:val="DEFAULT TEXT"/>
    <w:basedOn w:val="Normal"/>
    <w:rsid w:val="00BE210E"/>
    <w:pPr>
      <w:ind w:left="720"/>
    </w:pPr>
    <w:rPr>
      <w:noProof/>
      <w:szCs w:val="20"/>
    </w:rPr>
  </w:style>
  <w:style w:type="paragraph" w:customStyle="1" w:styleId="FirstLineIndent">
    <w:name w:val="First Line Indent"/>
    <w:basedOn w:val="Normal"/>
    <w:rsid w:val="00BE210E"/>
    <w:pPr>
      <w:ind w:firstLine="720"/>
    </w:pPr>
    <w:rPr>
      <w:rFonts w:ascii="Times New Roman" w:hAnsi="Times New Roman"/>
      <w:noProof/>
      <w:szCs w:val="20"/>
    </w:rPr>
  </w:style>
  <w:style w:type="character" w:styleId="Hyperlink">
    <w:name w:val="Hyperlink"/>
    <w:basedOn w:val="DefaultParagraphFont"/>
    <w:rsid w:val="00086F3D"/>
    <w:rPr>
      <w:color w:val="0000FF"/>
      <w:u w:val="single"/>
    </w:rPr>
  </w:style>
  <w:style w:type="paragraph" w:styleId="BalloonText">
    <w:name w:val="Balloon Text"/>
    <w:basedOn w:val="Normal"/>
    <w:semiHidden/>
    <w:rsid w:val="007D5552"/>
    <w:rPr>
      <w:rFonts w:ascii="Tahoma" w:hAnsi="Tahoma" w:cs="Tahoma"/>
      <w:sz w:val="16"/>
      <w:szCs w:val="16"/>
    </w:rPr>
  </w:style>
  <w:style w:type="paragraph" w:customStyle="1" w:styleId="L1">
    <w:name w:val="_L 1"/>
    <w:next w:val="L2"/>
    <w:link w:val="L1Char"/>
    <w:qFormat/>
    <w:rsid w:val="00AC637A"/>
    <w:pPr>
      <w:keepNext/>
      <w:keepLines/>
      <w:numPr>
        <w:ilvl w:val="1"/>
        <w:numId w:val="4"/>
      </w:numPr>
      <w:spacing w:before="120"/>
      <w:jc w:val="both"/>
    </w:pPr>
    <w:rPr>
      <w:rFonts w:ascii="Arial" w:hAnsi="Arial" w:cs="Arial"/>
      <w:b/>
      <w:sz w:val="24"/>
      <w:szCs w:val="24"/>
    </w:rPr>
  </w:style>
  <w:style w:type="paragraph" w:customStyle="1" w:styleId="L0">
    <w:name w:val="_L 0"/>
    <w:next w:val="L1"/>
    <w:qFormat/>
    <w:rsid w:val="00AC637A"/>
    <w:pPr>
      <w:numPr>
        <w:numId w:val="4"/>
      </w:numPr>
      <w:pBdr>
        <w:top w:val="single" w:sz="4" w:space="4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D9D9D9"/>
      <w:jc w:val="center"/>
    </w:pPr>
    <w:rPr>
      <w:rFonts w:ascii="Arial" w:hAnsi="Arial"/>
      <w:b/>
      <w:sz w:val="32"/>
      <w:szCs w:val="32"/>
      <w:lang w:eastAsia="en-US"/>
    </w:rPr>
  </w:style>
  <w:style w:type="paragraph" w:customStyle="1" w:styleId="L4">
    <w:name w:val="_L 4"/>
    <w:qFormat/>
    <w:rsid w:val="00AC637A"/>
    <w:pPr>
      <w:numPr>
        <w:ilvl w:val="4"/>
        <w:numId w:val="4"/>
      </w:numPr>
      <w:spacing w:before="120"/>
      <w:contextualSpacing/>
    </w:pPr>
    <w:rPr>
      <w:rFonts w:ascii="Arial" w:hAnsi="Arial" w:cs="Arial"/>
      <w:sz w:val="24"/>
      <w:szCs w:val="24"/>
      <w:lang w:eastAsia="en-US"/>
    </w:rPr>
  </w:style>
  <w:style w:type="paragraph" w:customStyle="1" w:styleId="L5">
    <w:name w:val="_L 5"/>
    <w:qFormat/>
    <w:rsid w:val="00AC637A"/>
    <w:pPr>
      <w:numPr>
        <w:ilvl w:val="5"/>
        <w:numId w:val="4"/>
      </w:numPr>
      <w:spacing w:before="120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L2Char">
    <w:name w:val="_L 2 Char"/>
    <w:link w:val="L2"/>
    <w:locked/>
    <w:rsid w:val="00AC637A"/>
    <w:rPr>
      <w:rFonts w:ascii="Arial" w:hAnsi="Arial" w:cs="Arial"/>
      <w:sz w:val="24"/>
      <w:szCs w:val="24"/>
      <w:lang w:eastAsia="en-US"/>
    </w:rPr>
  </w:style>
  <w:style w:type="paragraph" w:customStyle="1" w:styleId="L2">
    <w:name w:val="_L 2"/>
    <w:link w:val="L2Char"/>
    <w:qFormat/>
    <w:rsid w:val="00AC637A"/>
    <w:pPr>
      <w:numPr>
        <w:ilvl w:val="2"/>
        <w:numId w:val="4"/>
      </w:numPr>
      <w:spacing w:before="1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1Char">
    <w:name w:val="_L 1 Char"/>
    <w:link w:val="L1"/>
    <w:locked/>
    <w:rsid w:val="00AC637A"/>
    <w:rPr>
      <w:rFonts w:ascii="Arial" w:hAnsi="Arial" w:cs="Arial"/>
      <w:b/>
      <w:sz w:val="24"/>
      <w:szCs w:val="24"/>
    </w:rPr>
  </w:style>
  <w:style w:type="paragraph" w:customStyle="1" w:styleId="L3">
    <w:name w:val="_L 3"/>
    <w:qFormat/>
    <w:rsid w:val="00AC637A"/>
    <w:pPr>
      <w:numPr>
        <w:ilvl w:val="3"/>
        <w:numId w:val="4"/>
      </w:numPr>
      <w:spacing w:before="1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Li1Italic">
    <w:name w:val="_Li1 Italic"/>
    <w:qFormat/>
    <w:rsid w:val="00AC637A"/>
    <w:pPr>
      <w:numPr>
        <w:ilvl w:val="6"/>
        <w:numId w:val="4"/>
      </w:numPr>
      <w:spacing w:before="120" w:after="120"/>
    </w:pPr>
    <w:rPr>
      <w:rFonts w:ascii="Arial" w:hAnsi="Arial" w:cs="Arial"/>
      <w:sz w:val="24"/>
      <w:szCs w:val="24"/>
    </w:rPr>
  </w:style>
  <w:style w:type="paragraph" w:customStyle="1" w:styleId="Li2Italic">
    <w:name w:val="_Li2 Italic"/>
    <w:qFormat/>
    <w:rsid w:val="00AC637A"/>
    <w:pPr>
      <w:numPr>
        <w:ilvl w:val="7"/>
        <w:numId w:val="4"/>
      </w:numPr>
      <w:spacing w:before="120" w:after="120"/>
    </w:pPr>
    <w:rPr>
      <w:rFonts w:ascii="Arial" w:hAnsi="Arial" w:cs="Arial"/>
      <w:sz w:val="24"/>
      <w:szCs w:val="24"/>
      <w:lang w:eastAsia="en-US"/>
    </w:rPr>
  </w:style>
  <w:style w:type="paragraph" w:customStyle="1" w:styleId="Li3Italic">
    <w:name w:val="_Li3 Italic"/>
    <w:qFormat/>
    <w:rsid w:val="00AC637A"/>
    <w:pPr>
      <w:numPr>
        <w:ilvl w:val="8"/>
        <w:numId w:val="4"/>
      </w:numPr>
      <w:spacing w:before="120" w:after="120"/>
    </w:pPr>
    <w:rPr>
      <w:rFonts w:ascii="Arial" w:hAnsi="Arial" w:cs="Arial"/>
      <w:sz w:val="24"/>
      <w:szCs w:val="24"/>
      <w:lang w:eastAsia="en-US"/>
    </w:rPr>
  </w:style>
  <w:style w:type="numbering" w:customStyle="1" w:styleId="LxListStyle">
    <w:name w:val="__Lx List Style"/>
    <w:rsid w:val="00AC637A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unhideWhenUsed/>
    <w:rsid w:val="00B138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38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387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6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egorczyk@mansfiel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acon\Application%20Data\Microsoft\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F897-09AC-4915-BB3D-5541D43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4</Pages>
  <Words>853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Chief Executive Officer</vt:lpstr>
    </vt:vector>
  </TitlesOfParts>
  <Company>MDC</Company>
  <LinksUpToDate>false</LinksUpToDate>
  <CharactersWithSpaces>5591</CharactersWithSpaces>
  <SharedDoc>false</SharedDoc>
  <HLinks>
    <vt:vector size="6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mailto:dashcroft@mansfield.gov.uk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Chief Executive Officer</dc:title>
  <dc:subject>Delegated Decision</dc:subject>
  <dc:creator>MG</dc:creator>
  <cp:lastModifiedBy>Gabriella Wright</cp:lastModifiedBy>
  <cp:revision>2</cp:revision>
  <cp:lastPrinted>2016-04-13T08:34:00Z</cp:lastPrinted>
  <dcterms:created xsi:type="dcterms:W3CDTF">2021-07-07T12:50:00Z</dcterms:created>
  <dcterms:modified xsi:type="dcterms:W3CDTF">2021-07-07T12:50:00Z</dcterms:modified>
  <cp:category>Sheltered Complex refurb project</cp:category>
</cp:coreProperties>
</file>